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D5DD2AF" w:rsidR="00F110CD" w:rsidRPr="003C518E" w:rsidRDefault="00F110CD" w:rsidP="00CF1B6F">
      <w:pPr>
        <w:pStyle w:val="Header"/>
        <w:tabs>
          <w:tab w:val="right" w:pos="9639"/>
        </w:tabs>
        <w:jc w:val="both"/>
        <w:rPr>
          <w:bCs/>
          <w:noProof w:val="0"/>
          <w:sz w:val="24"/>
          <w:szCs w:val="24"/>
        </w:rPr>
      </w:pPr>
      <w:bookmarkStart w:id="0" w:name="_Hlk37418177"/>
      <w:r w:rsidRPr="003C518E">
        <w:rPr>
          <w:bCs/>
          <w:noProof w:val="0"/>
          <w:sz w:val="24"/>
          <w:szCs w:val="24"/>
        </w:rPr>
        <w:t>3GPP TSG RA</w:t>
      </w:r>
      <w:r w:rsidR="00BA1872" w:rsidRPr="003C518E">
        <w:rPr>
          <w:bCs/>
          <w:noProof w:val="0"/>
          <w:sz w:val="24"/>
          <w:szCs w:val="24"/>
        </w:rPr>
        <w:t xml:space="preserve">N WG1 </w:t>
      </w:r>
      <w:r w:rsidR="00B65452" w:rsidRPr="003C518E">
        <w:rPr>
          <w:bCs/>
          <w:noProof w:val="0"/>
          <w:sz w:val="24"/>
          <w:szCs w:val="24"/>
        </w:rPr>
        <w:t>#</w:t>
      </w:r>
      <w:r w:rsidR="00191E79" w:rsidRPr="003C518E">
        <w:rPr>
          <w:bCs/>
          <w:noProof w:val="0"/>
          <w:sz w:val="24"/>
          <w:szCs w:val="24"/>
        </w:rPr>
        <w:t>10</w:t>
      </w:r>
      <w:r w:rsidR="00500573" w:rsidRPr="003C518E">
        <w:rPr>
          <w:bCs/>
          <w:noProof w:val="0"/>
          <w:sz w:val="24"/>
          <w:szCs w:val="24"/>
        </w:rPr>
        <w:t>4</w:t>
      </w:r>
      <w:r w:rsidR="001977F6">
        <w:rPr>
          <w:bCs/>
          <w:noProof w:val="0"/>
          <w:sz w:val="24"/>
          <w:szCs w:val="24"/>
        </w:rPr>
        <w:t>-</w:t>
      </w:r>
      <w:r w:rsidR="00D64A2A" w:rsidRPr="003C518E">
        <w:rPr>
          <w:bCs/>
          <w:noProof w:val="0"/>
          <w:sz w:val="24"/>
          <w:szCs w:val="24"/>
        </w:rPr>
        <w:t>bis</w:t>
      </w:r>
      <w:r w:rsidR="001977F6">
        <w:rPr>
          <w:bCs/>
          <w:noProof w:val="0"/>
          <w:sz w:val="24"/>
          <w:szCs w:val="24"/>
        </w:rPr>
        <w:t>-e</w:t>
      </w:r>
      <w:r w:rsidR="001348FE" w:rsidRPr="003C518E">
        <w:rPr>
          <w:bCs/>
          <w:noProof w:val="0"/>
          <w:sz w:val="24"/>
          <w:szCs w:val="24"/>
        </w:rPr>
        <w:tab/>
      </w:r>
      <w:r w:rsidR="001977F6" w:rsidRPr="001977F6">
        <w:rPr>
          <w:bCs/>
          <w:noProof w:val="0"/>
          <w:sz w:val="24"/>
          <w:szCs w:val="24"/>
        </w:rPr>
        <w:t>R1-2103381</w:t>
      </w:r>
    </w:p>
    <w:bookmarkEnd w:id="0"/>
    <w:p w14:paraId="26023CD4" w14:textId="77777777" w:rsidR="001977F6" w:rsidRDefault="001977F6" w:rsidP="00CF1B6F">
      <w:pPr>
        <w:pStyle w:val="Header"/>
        <w:spacing w:line="276" w:lineRule="auto"/>
        <w:jc w:val="both"/>
        <w:rPr>
          <w:bCs/>
          <w:noProof w:val="0"/>
          <w:sz w:val="24"/>
          <w:szCs w:val="24"/>
        </w:rPr>
      </w:pPr>
      <w:r>
        <w:rPr>
          <w:bCs/>
          <w:noProof w:val="0"/>
          <w:sz w:val="24"/>
          <w:szCs w:val="24"/>
        </w:rPr>
        <w:t>e-Meeting, April 12</w:t>
      </w:r>
      <w:r>
        <w:rPr>
          <w:bCs/>
          <w:noProof w:val="0"/>
          <w:sz w:val="24"/>
          <w:szCs w:val="24"/>
          <w:vertAlign w:val="superscript"/>
        </w:rPr>
        <w:t>th</w:t>
      </w:r>
      <w:r>
        <w:rPr>
          <w:bCs/>
          <w:noProof w:val="0"/>
          <w:sz w:val="24"/>
          <w:szCs w:val="24"/>
        </w:rPr>
        <w:t xml:space="preserve"> – April 20</w:t>
      </w:r>
      <w:r>
        <w:rPr>
          <w:bCs/>
          <w:noProof w:val="0"/>
          <w:sz w:val="24"/>
          <w:szCs w:val="24"/>
          <w:vertAlign w:val="superscript"/>
        </w:rPr>
        <w:t>th</w:t>
      </w:r>
      <w:r>
        <w:rPr>
          <w:bCs/>
          <w:noProof w:val="0"/>
          <w:sz w:val="24"/>
          <w:szCs w:val="24"/>
        </w:rPr>
        <w:t>, 2021</w:t>
      </w:r>
    </w:p>
    <w:p w14:paraId="2CFE1919" w14:textId="77777777" w:rsidR="00850D96" w:rsidRPr="004B6CCC" w:rsidRDefault="00850D96" w:rsidP="00CF1B6F">
      <w:pPr>
        <w:pStyle w:val="Header"/>
        <w:jc w:val="both"/>
        <w:rPr>
          <w:bCs/>
          <w:noProof w:val="0"/>
          <w:sz w:val="24"/>
          <w:lang w:eastAsia="ja-JP"/>
        </w:rPr>
      </w:pPr>
    </w:p>
    <w:p w14:paraId="30E02941" w14:textId="48CE4B7A" w:rsidR="0034111C" w:rsidRPr="004B6CCC" w:rsidRDefault="0034111C" w:rsidP="00CF1B6F">
      <w:pPr>
        <w:pStyle w:val="CRCoverPage"/>
        <w:jc w:val="both"/>
        <w:rPr>
          <w:rFonts w:cs="Arial"/>
          <w:b/>
          <w:bCs/>
          <w:sz w:val="24"/>
          <w:szCs w:val="24"/>
          <w:lang w:val="en-US" w:eastAsia="ja-JP"/>
        </w:rPr>
      </w:pPr>
      <w:r w:rsidRPr="004B6CCC">
        <w:rPr>
          <w:rFonts w:cs="Arial"/>
          <w:b/>
          <w:bCs/>
          <w:sz w:val="24"/>
          <w:szCs w:val="24"/>
          <w:lang w:val="en-US"/>
        </w:rPr>
        <w:t>Agenda item:</w:t>
      </w:r>
      <w:r w:rsidRPr="004B6CCC">
        <w:rPr>
          <w:rFonts w:cs="Arial"/>
          <w:b/>
          <w:bCs/>
          <w:sz w:val="24"/>
          <w:lang w:val="en-US"/>
        </w:rPr>
        <w:tab/>
      </w:r>
      <w:r w:rsidRPr="004B6CCC">
        <w:rPr>
          <w:rFonts w:cs="Arial"/>
          <w:b/>
          <w:bCs/>
          <w:sz w:val="24"/>
          <w:lang w:val="en-US"/>
        </w:rPr>
        <w:tab/>
      </w:r>
      <w:r w:rsidR="00E049AA" w:rsidRPr="004B6CCC">
        <w:rPr>
          <w:rFonts w:cs="Arial"/>
          <w:b/>
          <w:bCs/>
          <w:sz w:val="24"/>
          <w:szCs w:val="24"/>
          <w:lang w:val="en-US"/>
        </w:rPr>
        <w:t>8.8.1.2</w:t>
      </w:r>
    </w:p>
    <w:p w14:paraId="30E02942" w14:textId="11CBDC88" w:rsidR="00E128F2" w:rsidRPr="004B6CCC" w:rsidRDefault="0034111C" w:rsidP="00CF1B6F">
      <w:pPr>
        <w:tabs>
          <w:tab w:val="left" w:pos="1985"/>
        </w:tabs>
        <w:spacing w:after="120"/>
        <w:ind w:left="1985" w:hanging="1985"/>
        <w:jc w:val="both"/>
        <w:rPr>
          <w:rFonts w:ascii="Arial" w:hAnsi="Arial" w:cs="Arial"/>
          <w:b/>
          <w:bCs/>
          <w:sz w:val="24"/>
          <w:szCs w:val="24"/>
        </w:rPr>
      </w:pPr>
      <w:r w:rsidRPr="004B6CCC">
        <w:rPr>
          <w:rFonts w:ascii="Arial" w:hAnsi="Arial" w:cs="Arial"/>
          <w:b/>
          <w:bCs/>
          <w:sz w:val="24"/>
          <w:szCs w:val="24"/>
        </w:rPr>
        <w:t>Source:</w:t>
      </w:r>
      <w:r w:rsidRPr="004B6CCC">
        <w:rPr>
          <w:rFonts w:ascii="Arial" w:hAnsi="Arial" w:cs="Arial"/>
          <w:b/>
          <w:bCs/>
          <w:sz w:val="24"/>
        </w:rPr>
        <w:tab/>
      </w:r>
      <w:r w:rsidR="00013455" w:rsidRPr="004B6CCC">
        <w:rPr>
          <w:rFonts w:ascii="Arial" w:hAnsi="Arial" w:cs="Arial"/>
          <w:b/>
          <w:bCs/>
          <w:sz w:val="24"/>
          <w:szCs w:val="24"/>
        </w:rPr>
        <w:t xml:space="preserve">Nokia, </w:t>
      </w:r>
      <w:r w:rsidR="00E67802" w:rsidRPr="004B6CCC">
        <w:rPr>
          <w:rFonts w:ascii="Arial" w:hAnsi="Arial" w:cs="Arial"/>
          <w:b/>
          <w:bCs/>
          <w:sz w:val="24"/>
          <w:szCs w:val="24"/>
        </w:rPr>
        <w:t>Nokia</w:t>
      </w:r>
      <w:r w:rsidR="00013455" w:rsidRPr="004B6CCC">
        <w:rPr>
          <w:rFonts w:ascii="Arial" w:hAnsi="Arial" w:cs="Arial"/>
          <w:b/>
          <w:bCs/>
          <w:sz w:val="24"/>
          <w:szCs w:val="24"/>
        </w:rPr>
        <w:t xml:space="preserve"> Shanghai Bell</w:t>
      </w:r>
    </w:p>
    <w:p w14:paraId="30E02943" w14:textId="55BE71DC" w:rsidR="0034111C" w:rsidRPr="004B6CCC" w:rsidRDefault="0034111C" w:rsidP="00CF1B6F">
      <w:pPr>
        <w:ind w:left="1985" w:hanging="1985"/>
        <w:jc w:val="both"/>
        <w:rPr>
          <w:rFonts w:ascii="Arial" w:hAnsi="Arial" w:cs="Arial"/>
          <w:b/>
          <w:bCs/>
          <w:sz w:val="24"/>
          <w:szCs w:val="24"/>
        </w:rPr>
      </w:pPr>
      <w:r w:rsidRPr="004B6CCC">
        <w:rPr>
          <w:rFonts w:ascii="Arial" w:hAnsi="Arial" w:cs="Arial"/>
          <w:b/>
          <w:bCs/>
          <w:sz w:val="24"/>
          <w:szCs w:val="24"/>
        </w:rPr>
        <w:t>Title:</w:t>
      </w:r>
      <w:r w:rsidRPr="004B6CCC">
        <w:rPr>
          <w:rFonts w:ascii="Arial" w:hAnsi="Arial" w:cs="Arial"/>
          <w:b/>
          <w:bCs/>
          <w:sz w:val="24"/>
        </w:rPr>
        <w:tab/>
      </w:r>
      <w:r w:rsidR="00E049AA" w:rsidRPr="004B6CCC">
        <w:rPr>
          <w:rFonts w:ascii="Arial" w:hAnsi="Arial" w:cs="Arial"/>
          <w:b/>
          <w:bCs/>
          <w:sz w:val="24"/>
        </w:rPr>
        <w:t>Transport block processing for PUSCH coverage enhancements</w:t>
      </w:r>
    </w:p>
    <w:p w14:paraId="30E02944" w14:textId="60B6B0C7" w:rsidR="0034111C" w:rsidRPr="004B6CCC" w:rsidRDefault="0034111C" w:rsidP="00CF1B6F">
      <w:pPr>
        <w:jc w:val="both"/>
        <w:rPr>
          <w:rFonts w:ascii="Arial" w:hAnsi="Arial" w:cs="Arial"/>
          <w:b/>
          <w:bCs/>
          <w:sz w:val="24"/>
          <w:szCs w:val="24"/>
        </w:rPr>
      </w:pPr>
      <w:r w:rsidRPr="004B6CCC">
        <w:rPr>
          <w:rFonts w:ascii="Arial" w:hAnsi="Arial" w:cs="Arial"/>
          <w:b/>
          <w:bCs/>
          <w:sz w:val="24"/>
          <w:szCs w:val="24"/>
        </w:rPr>
        <w:t xml:space="preserve">Document </w:t>
      </w:r>
      <w:r w:rsidR="3E61DC49" w:rsidRPr="004B6CCC">
        <w:rPr>
          <w:rFonts w:ascii="Arial" w:hAnsi="Arial" w:cs="Arial"/>
          <w:b/>
          <w:bCs/>
          <w:sz w:val="24"/>
          <w:szCs w:val="24"/>
        </w:rPr>
        <w:t>for:</w:t>
      </w:r>
      <w:r w:rsidRPr="004B6CCC">
        <w:rPr>
          <w:rFonts w:ascii="Arial" w:hAnsi="Arial" w:cs="Arial"/>
          <w:b/>
          <w:bCs/>
          <w:sz w:val="24"/>
        </w:rPr>
        <w:tab/>
      </w:r>
      <w:r w:rsidR="00220615" w:rsidRPr="004B6CCC">
        <w:rPr>
          <w:rFonts w:ascii="Arial" w:hAnsi="Arial" w:cs="Arial"/>
          <w:b/>
          <w:bCs/>
          <w:sz w:val="24"/>
        </w:rPr>
        <w:tab/>
      </w:r>
      <w:r w:rsidRPr="004B6CCC">
        <w:rPr>
          <w:rFonts w:ascii="Arial" w:hAnsi="Arial" w:cs="Arial"/>
          <w:b/>
          <w:bCs/>
          <w:sz w:val="24"/>
          <w:szCs w:val="24"/>
        </w:rPr>
        <w:t>Discussion and Decision</w:t>
      </w:r>
    </w:p>
    <w:p w14:paraId="7CF7938E" w14:textId="7E19F756" w:rsidR="00ED1327" w:rsidRPr="004B6CCC" w:rsidRDefault="00EE7FA7" w:rsidP="00CF1B6F">
      <w:pPr>
        <w:pStyle w:val="Heading1"/>
        <w:jc w:val="both"/>
        <w:rPr>
          <w:lang w:val="en-US"/>
        </w:rPr>
      </w:pPr>
      <w:r w:rsidRPr="004B6CCC">
        <w:rPr>
          <w:lang w:val="en-US"/>
        </w:rPr>
        <w:t>Introduction</w:t>
      </w:r>
    </w:p>
    <w:p w14:paraId="5579D159" w14:textId="56A9063D" w:rsidR="0077756B" w:rsidRPr="004B6CCC" w:rsidRDefault="0077756B" w:rsidP="00CF1B6F">
      <w:pPr>
        <w:spacing w:after="120" w:line="276" w:lineRule="auto"/>
        <w:jc w:val="both"/>
        <w:rPr>
          <w:szCs w:val="22"/>
        </w:rPr>
      </w:pPr>
      <w:bookmarkStart w:id="1" w:name="_Hlk510705081"/>
      <w:r w:rsidRPr="004B6CCC">
        <w:rPr>
          <w:szCs w:val="22"/>
        </w:rPr>
        <w:t>The following can be noted from the work item description (WID) for Rel-17 coverage enhancement</w:t>
      </w:r>
      <w:r w:rsidR="00340A9C" w:rsidRPr="004B6CCC">
        <w:rPr>
          <w:szCs w:val="22"/>
        </w:rPr>
        <w:t xml:space="preserve"> </w:t>
      </w:r>
      <w:r w:rsidR="00340A9C" w:rsidRPr="004B6CCC">
        <w:rPr>
          <w:szCs w:val="22"/>
        </w:rPr>
        <w:fldChar w:fldCharType="begin"/>
      </w:r>
      <w:r w:rsidR="00340A9C" w:rsidRPr="004B6CCC">
        <w:rPr>
          <w:szCs w:val="22"/>
        </w:rPr>
        <w:instrText xml:space="preserve"> REF _Ref68078831 \n \h </w:instrText>
      </w:r>
      <w:r w:rsidR="00BC12F5">
        <w:rPr>
          <w:szCs w:val="22"/>
        </w:rPr>
        <w:instrText xml:space="preserve"> \* MERGEFORMAT </w:instrText>
      </w:r>
      <w:r w:rsidR="00340A9C" w:rsidRPr="004B6CCC">
        <w:rPr>
          <w:szCs w:val="22"/>
        </w:rPr>
      </w:r>
      <w:r w:rsidR="00340A9C" w:rsidRPr="004B6CCC">
        <w:rPr>
          <w:szCs w:val="22"/>
        </w:rPr>
        <w:fldChar w:fldCharType="separate"/>
      </w:r>
      <w:r w:rsidR="00340A9C" w:rsidRPr="004B6CCC">
        <w:rPr>
          <w:szCs w:val="22"/>
        </w:rPr>
        <w:t>[1]</w:t>
      </w:r>
      <w:r w:rsidR="00340A9C" w:rsidRPr="004B6CCC">
        <w:rPr>
          <w:szCs w:val="22"/>
        </w:rPr>
        <w:fldChar w:fldCharType="end"/>
      </w:r>
      <w:r w:rsidRPr="004B6CCC">
        <w:rPr>
          <w:szCs w:val="22"/>
        </w:rPr>
        <w:t>:</w:t>
      </w:r>
    </w:p>
    <w:p w14:paraId="3D612E41" w14:textId="77777777" w:rsidR="0077756B" w:rsidRPr="004B6CCC" w:rsidRDefault="0077756B" w:rsidP="00CF1B6F">
      <w:pPr>
        <w:numPr>
          <w:ilvl w:val="1"/>
          <w:numId w:val="28"/>
        </w:numPr>
        <w:overflowPunct/>
        <w:autoSpaceDE/>
        <w:autoSpaceDN/>
        <w:adjustRightInd/>
        <w:spacing w:after="0" w:line="276" w:lineRule="auto"/>
        <w:ind w:hanging="357"/>
        <w:contextualSpacing/>
        <w:jc w:val="both"/>
        <w:textAlignment w:val="auto"/>
        <w:rPr>
          <w:i/>
          <w:iCs/>
          <w:szCs w:val="22"/>
        </w:rPr>
      </w:pPr>
      <w:r w:rsidRPr="004B6CCC">
        <w:rPr>
          <w:i/>
          <w:iCs/>
          <w:szCs w:val="22"/>
        </w:rPr>
        <w:t>Specify mechanism(s) to support TB processing over multi-slot PUSCH [RAN1]</w:t>
      </w:r>
    </w:p>
    <w:p w14:paraId="5438552B" w14:textId="77777777" w:rsidR="0077756B" w:rsidRPr="004B6CCC" w:rsidRDefault="0077756B" w:rsidP="00CF1B6F">
      <w:pPr>
        <w:numPr>
          <w:ilvl w:val="2"/>
          <w:numId w:val="28"/>
        </w:numPr>
        <w:overflowPunct/>
        <w:autoSpaceDE/>
        <w:autoSpaceDN/>
        <w:adjustRightInd/>
        <w:spacing w:after="0" w:line="276" w:lineRule="auto"/>
        <w:contextualSpacing/>
        <w:jc w:val="both"/>
        <w:textAlignment w:val="auto"/>
        <w:rPr>
          <w:i/>
          <w:iCs/>
          <w:szCs w:val="22"/>
        </w:rPr>
      </w:pPr>
      <w:r w:rsidRPr="004B6CCC">
        <w:rPr>
          <w:i/>
          <w:iCs/>
          <w:szCs w:val="22"/>
        </w:rPr>
        <w:t xml:space="preserve">TBS determined based on multiple slots and transmitted over multiple slots. </w:t>
      </w:r>
    </w:p>
    <w:p w14:paraId="10283F7F" w14:textId="30B1161A" w:rsidR="0077756B" w:rsidRPr="004B6CCC" w:rsidRDefault="00276203" w:rsidP="00CF1B6F">
      <w:pPr>
        <w:spacing w:before="180" w:line="276" w:lineRule="auto"/>
        <w:jc w:val="both"/>
        <w:rPr>
          <w:szCs w:val="22"/>
        </w:rPr>
      </w:pPr>
      <w:r w:rsidRPr="004B6CCC">
        <w:rPr>
          <w:szCs w:val="22"/>
        </w:rPr>
        <w:t xml:space="preserve">As mentioned in the WID, this new feature enables the transmission of a transport block (TB) over multiple slots (referred to as </w:t>
      </w:r>
      <w:proofErr w:type="spellStart"/>
      <w:r w:rsidRPr="004B6CCC">
        <w:rPr>
          <w:szCs w:val="22"/>
        </w:rPr>
        <w:t>TBoMS</w:t>
      </w:r>
      <w:proofErr w:type="spellEnd"/>
      <w:r w:rsidRPr="004B6CCC">
        <w:rPr>
          <w:szCs w:val="22"/>
        </w:rPr>
        <w:t xml:space="preserve">), wherein the transport block size (TBS) is determined based on the resource across multiple slots. </w:t>
      </w:r>
      <w:r w:rsidR="00483DA4" w:rsidRPr="004B6CCC">
        <w:rPr>
          <w:szCs w:val="22"/>
        </w:rPr>
        <w:t>T</w:t>
      </w:r>
      <w:r w:rsidR="0077756B" w:rsidRPr="004B6CCC">
        <w:rPr>
          <w:szCs w:val="22"/>
        </w:rPr>
        <w:t>his document</w:t>
      </w:r>
      <w:r w:rsidR="00483DA4" w:rsidRPr="004B6CCC">
        <w:rPr>
          <w:szCs w:val="22"/>
        </w:rPr>
        <w:t xml:space="preserve"> discusses the options identified in RAN1#104-e meeting,</w:t>
      </w:r>
      <w:r w:rsidR="0077756B" w:rsidRPr="004B6CCC">
        <w:rPr>
          <w:szCs w:val="22"/>
        </w:rPr>
        <w:t xml:space="preserve"> potential</w:t>
      </w:r>
      <w:r w:rsidR="00483DA4" w:rsidRPr="004B6CCC">
        <w:rPr>
          <w:szCs w:val="22"/>
        </w:rPr>
        <w:t xml:space="preserve"> open</w:t>
      </w:r>
      <w:r w:rsidR="0077756B" w:rsidRPr="004B6CCC">
        <w:rPr>
          <w:szCs w:val="22"/>
        </w:rPr>
        <w:t xml:space="preserve"> issues and the associated specification works for specifying this new feature in Rel-17.</w:t>
      </w:r>
    </w:p>
    <w:p w14:paraId="71230483" w14:textId="72F9C930" w:rsidR="00305297" w:rsidRPr="004B6CCC" w:rsidRDefault="007820D0" w:rsidP="00CF1B6F">
      <w:pPr>
        <w:pStyle w:val="Heading1"/>
        <w:spacing w:before="0" w:after="120" w:line="276" w:lineRule="auto"/>
        <w:contextualSpacing/>
        <w:jc w:val="both"/>
        <w:rPr>
          <w:lang w:val="en-US"/>
        </w:rPr>
      </w:pPr>
      <w:r w:rsidRPr="004B6CCC">
        <w:rPr>
          <w:lang w:val="en-US"/>
        </w:rPr>
        <w:t>Discussion</w:t>
      </w:r>
    </w:p>
    <w:p w14:paraId="3719FB4D" w14:textId="4B2AB2E3" w:rsidR="00276203" w:rsidRPr="004B6CCC" w:rsidRDefault="00276203" w:rsidP="00CF1B6F">
      <w:pPr>
        <w:pStyle w:val="Heading2"/>
        <w:spacing w:before="0" w:after="120" w:line="276" w:lineRule="auto"/>
        <w:contextualSpacing/>
        <w:jc w:val="both"/>
        <w:rPr>
          <w:lang w:val="en-US"/>
        </w:rPr>
      </w:pPr>
      <w:r w:rsidRPr="004B6CCC">
        <w:rPr>
          <w:lang w:val="en-US"/>
        </w:rPr>
        <w:t>Time-domain resource allocation</w:t>
      </w:r>
    </w:p>
    <w:p w14:paraId="188DCFBC" w14:textId="7541941A" w:rsidR="002F1F61" w:rsidRPr="004B6CCC" w:rsidRDefault="00642551" w:rsidP="00CF1B6F">
      <w:pPr>
        <w:spacing w:after="120" w:line="276" w:lineRule="auto"/>
        <w:contextualSpacing/>
        <w:jc w:val="both"/>
      </w:pPr>
      <w:r w:rsidRPr="004B6CCC">
        <w:t xml:space="preserve">Resource allocation </w:t>
      </w:r>
      <w:r w:rsidR="00C740E2">
        <w:t>is clearly</w:t>
      </w:r>
      <w:r w:rsidRPr="004B6CCC">
        <w:t xml:space="preserve"> a </w:t>
      </w:r>
      <w:r w:rsidR="00C740E2">
        <w:t xml:space="preserve">fundamental </w:t>
      </w:r>
      <w:r w:rsidRPr="004B6CCC">
        <w:t xml:space="preserve">cornerstone </w:t>
      </w:r>
      <w:r w:rsidR="00C740E2">
        <w:t>for</w:t>
      </w:r>
      <w:r w:rsidRPr="004B6CCC">
        <w:t xml:space="preserve"> defin</w:t>
      </w:r>
      <w:r w:rsidR="00C740E2">
        <w:t>ing the</w:t>
      </w:r>
      <w:r w:rsidRPr="004B6CCC">
        <w:t xml:space="preserve"> </w:t>
      </w:r>
      <w:proofErr w:type="spellStart"/>
      <w:r w:rsidRPr="004B6CCC">
        <w:t>TBoMS</w:t>
      </w:r>
      <w:proofErr w:type="spellEnd"/>
      <w:r w:rsidRPr="004B6CCC">
        <w:t xml:space="preserve"> feature</w:t>
      </w:r>
      <w:r w:rsidR="00C740E2">
        <w:t xml:space="preserve">. This aspect </w:t>
      </w:r>
      <w:r w:rsidR="006A3878" w:rsidRPr="004B6CCC">
        <w:t xml:space="preserve">is </w:t>
      </w:r>
      <w:r w:rsidR="008400B3" w:rsidRPr="004B6CCC">
        <w:t>prerequisite for</w:t>
      </w:r>
      <w:r w:rsidR="006A3878" w:rsidRPr="004B6CCC">
        <w:t xml:space="preserve"> TBS</w:t>
      </w:r>
      <w:r w:rsidR="008400B3" w:rsidRPr="004B6CCC">
        <w:t xml:space="preserve"> determination</w:t>
      </w:r>
      <w:r w:rsidR="006A3878" w:rsidRPr="004B6CCC">
        <w:t xml:space="preserve"> </w:t>
      </w:r>
      <w:r w:rsidR="008400B3" w:rsidRPr="004B6CCC">
        <w:t>for</w:t>
      </w:r>
      <w:r w:rsidR="006A3878" w:rsidRPr="004B6CCC">
        <w:t xml:space="preserve"> </w:t>
      </w:r>
      <w:proofErr w:type="spellStart"/>
      <w:r w:rsidR="006A3878" w:rsidRPr="004B6CCC">
        <w:t>TBoMS</w:t>
      </w:r>
      <w:proofErr w:type="spellEnd"/>
      <w:r w:rsidR="008400B3" w:rsidRPr="004B6CCC">
        <w:t>, which</w:t>
      </w:r>
      <w:r w:rsidR="006A3878" w:rsidRPr="004B6CCC">
        <w:t xml:space="preserve"> is defined based on the resource across multiple slots</w:t>
      </w:r>
      <w:r w:rsidRPr="004B6CCC">
        <w:t xml:space="preserve">. </w:t>
      </w:r>
      <w:r w:rsidR="00C740E2">
        <w:t>D</w:t>
      </w:r>
      <w:r w:rsidRPr="004B6CCC">
        <w:t>iscussions and agreements on this aspect must be prioritized.</w:t>
      </w:r>
      <w:r w:rsidR="002C70FD" w:rsidRPr="004B6CCC">
        <w:t xml:space="preserve"> In RAN1#104-e meeting, an agreement was made on frequency domain resource allocation (FDRA) of </w:t>
      </w:r>
      <w:proofErr w:type="spellStart"/>
      <w:r w:rsidR="002C70FD" w:rsidRPr="004B6CCC">
        <w:t>TBoMS</w:t>
      </w:r>
      <w:proofErr w:type="spellEnd"/>
      <w:r w:rsidR="002C70FD" w:rsidRPr="004B6CCC">
        <w:t xml:space="preserve"> such that the same number of PRBs per symbol is allocated across slots for </w:t>
      </w:r>
      <w:proofErr w:type="spellStart"/>
      <w:r w:rsidR="002C70FD" w:rsidRPr="004B6CCC">
        <w:t>TBoMS</w:t>
      </w:r>
      <w:proofErr w:type="spellEnd"/>
      <w:r w:rsidR="002C70FD" w:rsidRPr="004B6CCC">
        <w:t xml:space="preserve"> transmission. This agreement should be sufficient for FDRA. However, concerning the time-domain resource allocation (TDRA) of </w:t>
      </w:r>
      <w:proofErr w:type="spellStart"/>
      <w:r w:rsidR="002C70FD" w:rsidRPr="004B6CCC">
        <w:t>TBoMS</w:t>
      </w:r>
      <w:proofErr w:type="spellEnd"/>
      <w:r w:rsidR="002C70FD" w:rsidRPr="004B6CCC">
        <w:t xml:space="preserve">, there are still two </w:t>
      </w:r>
      <w:r w:rsidR="002F1F61" w:rsidRPr="004B6CCC">
        <w:t>open issues that are expected to be resolved in the upcoming RAN1#104b-e meeting.</w:t>
      </w:r>
    </w:p>
    <w:p w14:paraId="0E9344B4" w14:textId="0DAF2734" w:rsidR="002F1F61" w:rsidRPr="004B6CCC" w:rsidRDefault="002F1F61" w:rsidP="00CF1B6F">
      <w:pPr>
        <w:pStyle w:val="Heading3"/>
        <w:jc w:val="both"/>
        <w:rPr>
          <w:lang w:val="en-US"/>
        </w:rPr>
      </w:pPr>
      <w:bookmarkStart w:id="2" w:name="_Ref68035203"/>
      <w:r w:rsidRPr="004B6CCC">
        <w:rPr>
          <w:lang w:val="en-US"/>
        </w:rPr>
        <w:t>Potential constraint on number of symbols per slot</w:t>
      </w:r>
      <w:bookmarkEnd w:id="2"/>
    </w:p>
    <w:p w14:paraId="019B858A" w14:textId="68B516AA" w:rsidR="006825AB" w:rsidRPr="004B6CCC" w:rsidRDefault="002F1F61" w:rsidP="00CF1B6F">
      <w:pPr>
        <w:spacing w:line="276" w:lineRule="auto"/>
        <w:jc w:val="both"/>
      </w:pPr>
      <w:r w:rsidRPr="004B6CCC">
        <w:t>The following agreement was made in RAN1#104-e:</w:t>
      </w:r>
    </w:p>
    <w:tbl>
      <w:tblPr>
        <w:tblStyle w:val="TableGrid"/>
        <w:tblW w:w="0" w:type="auto"/>
        <w:tblLook w:val="04A0" w:firstRow="1" w:lastRow="0" w:firstColumn="1" w:lastColumn="0" w:noHBand="0" w:noVBand="1"/>
      </w:tblPr>
      <w:tblGrid>
        <w:gridCol w:w="9629"/>
      </w:tblGrid>
      <w:tr w:rsidR="002C70FD" w:rsidRPr="004B6CCC" w14:paraId="1FC7C63C" w14:textId="77777777" w:rsidTr="002C70FD">
        <w:tc>
          <w:tcPr>
            <w:tcW w:w="9629" w:type="dxa"/>
          </w:tcPr>
          <w:p w14:paraId="27DA0371" w14:textId="77777777" w:rsidR="002C70FD" w:rsidRPr="004B6CCC" w:rsidRDefault="002C70FD" w:rsidP="00CF1B6F">
            <w:pPr>
              <w:spacing w:before="120" w:after="120" w:line="276" w:lineRule="auto"/>
              <w:contextualSpacing/>
              <w:jc w:val="both"/>
            </w:pPr>
            <w:r w:rsidRPr="004B6CCC">
              <w:rPr>
                <w:highlight w:val="green"/>
              </w:rPr>
              <w:t>Agreement:</w:t>
            </w:r>
          </w:p>
          <w:p w14:paraId="71C2C450" w14:textId="77777777" w:rsidR="002C70FD" w:rsidRPr="004B6CCC" w:rsidRDefault="002C70FD" w:rsidP="00CF1B6F">
            <w:pPr>
              <w:numPr>
                <w:ilvl w:val="0"/>
                <w:numId w:val="31"/>
              </w:numPr>
              <w:spacing w:before="120" w:after="120" w:line="276" w:lineRule="auto"/>
              <w:contextualSpacing/>
              <w:jc w:val="both"/>
            </w:pPr>
            <w:r w:rsidRPr="004B6CCC">
              <w:t xml:space="preserve">Consider one or two of the following options as starting points to design time domain resource determination of </w:t>
            </w:r>
            <w:proofErr w:type="spellStart"/>
            <w:r w:rsidRPr="004B6CCC">
              <w:t>TBoMS</w:t>
            </w:r>
            <w:proofErr w:type="spellEnd"/>
          </w:p>
          <w:p w14:paraId="57F22F17" w14:textId="77777777" w:rsidR="002C70FD" w:rsidRPr="004B6CCC" w:rsidRDefault="002C70FD" w:rsidP="00CF1B6F">
            <w:pPr>
              <w:numPr>
                <w:ilvl w:val="1"/>
                <w:numId w:val="31"/>
              </w:numPr>
              <w:spacing w:before="120" w:after="120" w:line="276" w:lineRule="auto"/>
              <w:contextualSpacing/>
              <w:jc w:val="both"/>
            </w:pPr>
            <w:r w:rsidRPr="004B6CCC">
              <w:t>PUSCH repetition type A like TDRA, i.e., the number of allocated symbols is the same in each slot.</w:t>
            </w:r>
          </w:p>
          <w:p w14:paraId="77054227" w14:textId="5DA236A0" w:rsidR="002C70FD" w:rsidRPr="004B6CCC" w:rsidRDefault="002C70FD" w:rsidP="00CF1B6F">
            <w:pPr>
              <w:numPr>
                <w:ilvl w:val="1"/>
                <w:numId w:val="31"/>
              </w:numPr>
              <w:spacing w:before="120" w:after="120" w:line="276" w:lineRule="auto"/>
              <w:contextualSpacing/>
              <w:jc w:val="both"/>
            </w:pPr>
            <w:r w:rsidRPr="004B6CCC">
              <w:t>PUSCH repetition type B like TDRA, i.e., the number of allocated symbols in each slot can be different</w:t>
            </w:r>
          </w:p>
        </w:tc>
      </w:tr>
    </w:tbl>
    <w:p w14:paraId="664535A3" w14:textId="77777777" w:rsidR="002C70FD" w:rsidRPr="004B6CCC" w:rsidRDefault="002C70FD" w:rsidP="00CF1B6F">
      <w:pPr>
        <w:spacing w:after="120" w:line="276" w:lineRule="auto"/>
        <w:contextualSpacing/>
        <w:jc w:val="both"/>
      </w:pPr>
    </w:p>
    <w:p w14:paraId="305F7D0D" w14:textId="788BACB8" w:rsidR="002C70FD" w:rsidRPr="004B6CCC" w:rsidRDefault="000012AB" w:rsidP="00CF1B6F">
      <w:pPr>
        <w:spacing w:after="120" w:line="276" w:lineRule="auto"/>
        <w:contextualSpacing/>
        <w:jc w:val="both"/>
      </w:pPr>
      <w:r w:rsidRPr="004B6CCC">
        <w:t xml:space="preserve">It </w:t>
      </w:r>
      <w:r w:rsidR="003F1E08" w:rsidRPr="004B6CCC">
        <w:t xml:space="preserve">can be observed </w:t>
      </w:r>
      <w:r w:rsidRPr="004B6CCC">
        <w:t>from the discussion</w:t>
      </w:r>
      <w:r w:rsidR="00BE48FD" w:rsidRPr="004B6CCC">
        <w:t xml:space="preserve">s in RAN1#104-e meeting that the wording “PUSCH repetition-type-A-like or type-B-like TDRA” might have caused some confusions or misunderstanding on the above two options </w:t>
      </w:r>
      <w:r w:rsidR="00C740E2">
        <w:t>for the</w:t>
      </w:r>
      <w:r w:rsidR="00BE48FD" w:rsidRPr="004B6CCC">
        <w:t xml:space="preserve"> TDRA </w:t>
      </w:r>
      <w:r w:rsidR="00C740E2">
        <w:t>indication of</w:t>
      </w:r>
      <w:r w:rsidR="00BE48FD" w:rsidRPr="004B6CCC">
        <w:t xml:space="preserve"> </w:t>
      </w:r>
      <w:proofErr w:type="spellStart"/>
      <w:r w:rsidR="00BE48FD" w:rsidRPr="004B6CCC">
        <w:t>TBoMS</w:t>
      </w:r>
      <w:proofErr w:type="spellEnd"/>
      <w:r w:rsidR="00BE48FD" w:rsidRPr="004B6CCC">
        <w:t>.</w:t>
      </w:r>
      <w:r w:rsidRPr="004B6CCC">
        <w:t xml:space="preserve"> </w:t>
      </w:r>
      <w:r w:rsidR="00BE48FD" w:rsidRPr="004B6CCC">
        <w:t>Therefore, we herein would like to share our understanding</w:t>
      </w:r>
      <w:r w:rsidR="003F1E08" w:rsidRPr="004B6CCC">
        <w:t xml:space="preserve"> and views</w:t>
      </w:r>
      <w:r w:rsidR="00BE48FD" w:rsidRPr="004B6CCC">
        <w:t xml:space="preserve"> on the above two options:</w:t>
      </w:r>
    </w:p>
    <w:p w14:paraId="08E957D7" w14:textId="5FB96699" w:rsidR="00BE48FD" w:rsidRPr="00AC355A" w:rsidRDefault="00BE48FD" w:rsidP="002B2E66">
      <w:pPr>
        <w:pStyle w:val="ListParagraph"/>
        <w:numPr>
          <w:ilvl w:val="0"/>
          <w:numId w:val="32"/>
        </w:numPr>
        <w:rPr>
          <w:lang w:val="en-US"/>
        </w:rPr>
      </w:pPr>
      <w:r w:rsidRPr="00AC355A">
        <w:rPr>
          <w:u w:val="single"/>
          <w:lang w:val="en-US"/>
        </w:rPr>
        <w:t>TDRA Option 1</w:t>
      </w:r>
      <w:r w:rsidR="00215A28" w:rsidRPr="00AC355A">
        <w:rPr>
          <w:u w:val="single"/>
          <w:lang w:val="en-US"/>
        </w:rPr>
        <w:t xml:space="preserve"> (t</w:t>
      </w:r>
      <w:r w:rsidR="002C70FD" w:rsidRPr="00AC355A">
        <w:rPr>
          <w:u w:val="single"/>
          <w:lang w:val="en-US"/>
        </w:rPr>
        <w:t>he number of allocated symbols is the same in each slot</w:t>
      </w:r>
      <w:r w:rsidR="00215A28" w:rsidRPr="00AC355A">
        <w:rPr>
          <w:u w:val="single"/>
          <w:lang w:val="en-US"/>
        </w:rPr>
        <w:t>)</w:t>
      </w:r>
      <w:r w:rsidR="00215A28" w:rsidRPr="00AC355A">
        <w:rPr>
          <w:lang w:val="en-US"/>
        </w:rPr>
        <w:t xml:space="preserve">: This option </w:t>
      </w:r>
      <w:r w:rsidR="00C740E2" w:rsidRPr="00AC355A">
        <w:rPr>
          <w:lang w:val="en-US"/>
        </w:rPr>
        <w:t xml:space="preserve">simply says that the time domain resource determination of </w:t>
      </w:r>
      <w:proofErr w:type="spellStart"/>
      <w:r w:rsidR="00C740E2" w:rsidRPr="00AC355A">
        <w:rPr>
          <w:lang w:val="en-US"/>
        </w:rPr>
        <w:t>TBoMS</w:t>
      </w:r>
      <w:proofErr w:type="spellEnd"/>
      <w:r w:rsidR="00C740E2" w:rsidRPr="00AC355A">
        <w:rPr>
          <w:lang w:val="en-US"/>
        </w:rPr>
        <w:t xml:space="preserve"> could satisfy si</w:t>
      </w:r>
      <w:r w:rsidR="00215A28" w:rsidRPr="00AC355A">
        <w:rPr>
          <w:lang w:val="en-US"/>
        </w:rPr>
        <w:t>milar constraint</w:t>
      </w:r>
      <w:r w:rsidR="00C740E2" w:rsidRPr="00AC355A">
        <w:rPr>
          <w:lang w:val="en-US"/>
        </w:rPr>
        <w:t>s</w:t>
      </w:r>
      <w:r w:rsidR="00215A28" w:rsidRPr="00AC355A">
        <w:rPr>
          <w:lang w:val="en-US"/>
        </w:rPr>
        <w:t xml:space="preserve"> </w:t>
      </w:r>
      <w:r w:rsidR="00775CE1" w:rsidRPr="00AC355A">
        <w:rPr>
          <w:lang w:val="en-US"/>
        </w:rPr>
        <w:t>as the one</w:t>
      </w:r>
      <w:r w:rsidR="003B1BCF" w:rsidRPr="00AC355A">
        <w:rPr>
          <w:lang w:val="en-US"/>
        </w:rPr>
        <w:t>s</w:t>
      </w:r>
      <w:r w:rsidR="00775CE1" w:rsidRPr="00AC355A">
        <w:rPr>
          <w:lang w:val="en-US"/>
        </w:rPr>
        <w:t xml:space="preserve"> specified</w:t>
      </w:r>
      <w:r w:rsidR="00215A28" w:rsidRPr="00AC355A">
        <w:rPr>
          <w:lang w:val="en-US"/>
        </w:rPr>
        <w:t xml:space="preserve"> for PUSCH repetition type A</w:t>
      </w:r>
      <w:r w:rsidR="003B1BCF" w:rsidRPr="00AC355A">
        <w:rPr>
          <w:lang w:val="en-US"/>
        </w:rPr>
        <w:t xml:space="preserve">, </w:t>
      </w:r>
      <w:r w:rsidR="003B1BCF" w:rsidRPr="00AC355A">
        <w:rPr>
          <w:b/>
          <w:bCs/>
          <w:lang w:val="en-US"/>
        </w:rPr>
        <w:t xml:space="preserve">in terms of how many symbols can be allocated per slot for </w:t>
      </w:r>
      <w:proofErr w:type="spellStart"/>
      <w:r w:rsidR="003B1BCF" w:rsidRPr="00AC355A">
        <w:rPr>
          <w:b/>
          <w:bCs/>
          <w:lang w:val="en-US"/>
        </w:rPr>
        <w:t>TBoMS</w:t>
      </w:r>
      <w:proofErr w:type="spellEnd"/>
      <w:r w:rsidR="00215A28" w:rsidRPr="00AC355A">
        <w:rPr>
          <w:lang w:val="en-US"/>
        </w:rPr>
        <w:t>.</w:t>
      </w:r>
      <w:r w:rsidR="00C740E2" w:rsidRPr="00AC355A">
        <w:rPr>
          <w:lang w:val="en-US"/>
        </w:rPr>
        <w:t xml:space="preserve"> </w:t>
      </w:r>
      <w:r w:rsidR="00215A28" w:rsidRPr="00AC355A">
        <w:rPr>
          <w:lang w:val="en-US"/>
        </w:rPr>
        <w:t xml:space="preserve">This is the reason why this option was referred to as repetition-type-A-like TDRA. </w:t>
      </w:r>
      <w:r w:rsidR="00C740E2" w:rsidRPr="00AC355A">
        <w:rPr>
          <w:lang w:val="en-US"/>
        </w:rPr>
        <w:t xml:space="preserve">However, </w:t>
      </w:r>
      <w:r w:rsidR="003B1BCF" w:rsidRPr="00AC355A">
        <w:rPr>
          <w:lang w:val="en-US"/>
        </w:rPr>
        <w:t>this option</w:t>
      </w:r>
      <w:r w:rsidR="00C740E2" w:rsidRPr="00AC355A">
        <w:rPr>
          <w:lang w:val="en-US"/>
        </w:rPr>
        <w:t xml:space="preserve"> does not have any further implication on other aspects of the feature, e.g., TB to RE mapping, rate-matching, interleaving, RV and so on. The reason is very simple. </w:t>
      </w:r>
      <w:proofErr w:type="spellStart"/>
      <w:r w:rsidR="00EC05BC" w:rsidRPr="00AC355A">
        <w:rPr>
          <w:lang w:val="en-US"/>
        </w:rPr>
        <w:t>TBoMS</w:t>
      </w:r>
      <w:proofErr w:type="spellEnd"/>
      <w:r w:rsidR="00EC05BC" w:rsidRPr="00AC355A">
        <w:rPr>
          <w:lang w:val="en-US"/>
        </w:rPr>
        <w:t xml:space="preserve"> is </w:t>
      </w:r>
      <w:r w:rsidR="00EC05BC" w:rsidRPr="00AC355A">
        <w:rPr>
          <w:b/>
          <w:bCs/>
          <w:lang w:val="en-US"/>
        </w:rPr>
        <w:t>not</w:t>
      </w:r>
      <w:r w:rsidR="00EC05BC" w:rsidRPr="00AC355A">
        <w:rPr>
          <w:lang w:val="en-US"/>
        </w:rPr>
        <w:t xml:space="preserve"> an enhanc</w:t>
      </w:r>
      <w:r w:rsidR="00E4074F" w:rsidRPr="00AC355A">
        <w:rPr>
          <w:lang w:val="en-US"/>
        </w:rPr>
        <w:t>e</w:t>
      </w:r>
      <w:r w:rsidR="00EC05BC" w:rsidRPr="00AC355A">
        <w:rPr>
          <w:lang w:val="en-US"/>
        </w:rPr>
        <w:t xml:space="preserve">ment of PUSCH </w:t>
      </w:r>
      <w:r w:rsidR="00E4074F" w:rsidRPr="00AC355A">
        <w:rPr>
          <w:lang w:val="en-US"/>
        </w:rPr>
        <w:t>repetition</w:t>
      </w:r>
      <w:r w:rsidR="00EC05BC" w:rsidRPr="00AC355A">
        <w:rPr>
          <w:lang w:val="en-US"/>
        </w:rPr>
        <w:t xml:space="preserve"> type A feature</w:t>
      </w:r>
      <w:r w:rsidR="00C740E2" w:rsidRPr="00AC355A">
        <w:rPr>
          <w:lang w:val="en-US"/>
        </w:rPr>
        <w:t xml:space="preserve">, and neither it </w:t>
      </w:r>
      <w:r w:rsidR="00C740E2" w:rsidRPr="00AC355A">
        <w:rPr>
          <w:lang w:val="en-US"/>
        </w:rPr>
        <w:lastRenderedPageBreak/>
        <w:t xml:space="preserve">was studied as such during the SI (i.e., the features have always been kept and studied separately). If </w:t>
      </w:r>
      <w:proofErr w:type="spellStart"/>
      <w:r w:rsidR="00C740E2" w:rsidRPr="00AC355A">
        <w:rPr>
          <w:lang w:val="en-US"/>
        </w:rPr>
        <w:t>TBoMS</w:t>
      </w:r>
      <w:proofErr w:type="spellEnd"/>
      <w:r w:rsidR="00C740E2" w:rsidRPr="00AC355A">
        <w:rPr>
          <w:lang w:val="en-US"/>
        </w:rPr>
        <w:t xml:space="preserve"> could be seen and modeled as a</w:t>
      </w:r>
      <w:r w:rsidR="00AC355A">
        <w:rPr>
          <w:lang w:val="en-US"/>
        </w:rPr>
        <w:t>n</w:t>
      </w:r>
      <w:r w:rsidR="00C740E2" w:rsidRPr="00AC355A">
        <w:rPr>
          <w:lang w:val="en-US"/>
        </w:rPr>
        <w:t xml:space="preserve"> enhancement of PUSCH repetition type B, then </w:t>
      </w:r>
      <w:r w:rsidR="00EC05BC" w:rsidRPr="00AC355A">
        <w:rPr>
          <w:lang w:val="en-US"/>
        </w:rPr>
        <w:t>it would have been added under the bullet</w:t>
      </w:r>
      <w:r w:rsidR="00E4074F" w:rsidRPr="00AC355A">
        <w:rPr>
          <w:lang w:val="en-US"/>
        </w:rPr>
        <w:t xml:space="preserve"> point “Specify the following mechanisms for enhancements on PUSCH repetition type A [RAN1]”</w:t>
      </w:r>
      <w:r w:rsidR="00EC05BC" w:rsidRPr="00AC355A">
        <w:rPr>
          <w:lang w:val="en-US"/>
        </w:rPr>
        <w:t xml:space="preserve"> in the WID</w:t>
      </w:r>
      <w:r w:rsidR="00C740E2" w:rsidRPr="00AC355A">
        <w:rPr>
          <w:lang w:val="en-US"/>
        </w:rPr>
        <w:t>. This did not happen</w:t>
      </w:r>
      <w:r w:rsidR="00EC05BC" w:rsidRPr="00AC355A">
        <w:rPr>
          <w:lang w:val="en-US"/>
        </w:rPr>
        <w:t>.</w:t>
      </w:r>
      <w:r w:rsidR="00E4074F" w:rsidRPr="00AC355A">
        <w:rPr>
          <w:lang w:val="en-US"/>
        </w:rPr>
        <w:t xml:space="preserve"> </w:t>
      </w:r>
      <w:r w:rsidR="00C740E2" w:rsidRPr="00AC355A">
        <w:rPr>
          <w:lang w:val="en-US"/>
        </w:rPr>
        <w:t>Now, s</w:t>
      </w:r>
      <w:r w:rsidR="00A778E6" w:rsidRPr="00AC355A">
        <w:rPr>
          <w:lang w:val="en-US"/>
        </w:rPr>
        <w:t xml:space="preserve">ince </w:t>
      </w:r>
      <w:proofErr w:type="spellStart"/>
      <w:r w:rsidR="00A778E6" w:rsidRPr="00AC355A">
        <w:rPr>
          <w:lang w:val="en-US"/>
        </w:rPr>
        <w:t>TBoMS</w:t>
      </w:r>
      <w:proofErr w:type="spellEnd"/>
      <w:r w:rsidR="00215A28" w:rsidRPr="00AC355A">
        <w:rPr>
          <w:lang w:val="en-US"/>
        </w:rPr>
        <w:t xml:space="preserve"> is completely</w:t>
      </w:r>
      <w:r w:rsidR="00352202" w:rsidRPr="00AC355A">
        <w:rPr>
          <w:lang w:val="en-US"/>
        </w:rPr>
        <w:t xml:space="preserve"> an</w:t>
      </w:r>
      <w:r w:rsidR="00215A28" w:rsidRPr="00AC355A">
        <w:rPr>
          <w:lang w:val="en-US"/>
        </w:rPr>
        <w:t xml:space="preserve"> </w:t>
      </w:r>
      <w:r w:rsidR="00E4074F" w:rsidRPr="00AC355A">
        <w:rPr>
          <w:lang w:val="en-US"/>
        </w:rPr>
        <w:t>independent</w:t>
      </w:r>
      <w:r w:rsidR="00215A28" w:rsidRPr="00AC355A">
        <w:rPr>
          <w:lang w:val="en-US"/>
        </w:rPr>
        <w:t xml:space="preserve"> </w:t>
      </w:r>
      <w:r w:rsidR="00352202" w:rsidRPr="00AC355A">
        <w:rPr>
          <w:lang w:val="en-US"/>
        </w:rPr>
        <w:t>feature</w:t>
      </w:r>
      <w:r w:rsidR="00775CE1" w:rsidRPr="00AC355A">
        <w:rPr>
          <w:lang w:val="en-US"/>
        </w:rPr>
        <w:t xml:space="preserve">, </w:t>
      </w:r>
      <w:r w:rsidR="26691F92" w:rsidRPr="00AC355A">
        <w:rPr>
          <w:lang w:val="en-US"/>
        </w:rPr>
        <w:t xml:space="preserve">RAN1 </w:t>
      </w:r>
      <w:r w:rsidR="00775CE1" w:rsidRPr="00AC355A">
        <w:rPr>
          <w:lang w:val="en-US"/>
        </w:rPr>
        <w:t>should not</w:t>
      </w:r>
      <w:r w:rsidR="00C740E2" w:rsidRPr="00AC355A">
        <w:rPr>
          <w:lang w:val="en-US"/>
        </w:rPr>
        <w:t xml:space="preserve"> </w:t>
      </w:r>
      <w:r w:rsidR="00775CE1" w:rsidRPr="00AC355A">
        <w:rPr>
          <w:lang w:val="en-US"/>
        </w:rPr>
        <w:t xml:space="preserve">link any design aspects of PUSCH repetition type A to </w:t>
      </w:r>
      <w:proofErr w:type="spellStart"/>
      <w:r w:rsidR="00775CE1" w:rsidRPr="00AC355A">
        <w:rPr>
          <w:lang w:val="en-US"/>
        </w:rPr>
        <w:t>TBoMS</w:t>
      </w:r>
      <w:proofErr w:type="spellEnd"/>
      <w:r w:rsidR="00A778E6" w:rsidRPr="00AC355A">
        <w:rPr>
          <w:lang w:val="en-US"/>
        </w:rPr>
        <w:t>, including TDRA</w:t>
      </w:r>
      <w:r w:rsidR="00215A28" w:rsidRPr="00AC355A">
        <w:rPr>
          <w:lang w:val="en-US"/>
        </w:rPr>
        <w:t>.</w:t>
      </w:r>
      <w:r w:rsidR="00C740E2" w:rsidRPr="00AC355A">
        <w:rPr>
          <w:lang w:val="en-US"/>
        </w:rPr>
        <w:t xml:space="preserve"> </w:t>
      </w:r>
      <w:r w:rsidR="00A778E6" w:rsidRPr="00AC355A">
        <w:rPr>
          <w:lang w:val="en-US"/>
        </w:rPr>
        <w:t xml:space="preserve"> </w:t>
      </w:r>
    </w:p>
    <w:p w14:paraId="34E6BA1C" w14:textId="4B46DAFD" w:rsidR="003F1E08" w:rsidRPr="00AC355A" w:rsidRDefault="003F1E08" w:rsidP="002B2E66">
      <w:pPr>
        <w:pStyle w:val="ListParagraph"/>
        <w:numPr>
          <w:ilvl w:val="0"/>
          <w:numId w:val="32"/>
        </w:numPr>
        <w:rPr>
          <w:b/>
          <w:bCs/>
          <w:szCs w:val="20"/>
          <w:lang w:val="en-US"/>
        </w:rPr>
      </w:pPr>
      <w:r w:rsidRPr="00AC355A">
        <w:rPr>
          <w:szCs w:val="20"/>
          <w:u w:val="single"/>
          <w:lang w:val="en-US"/>
        </w:rPr>
        <w:t>TDRA Option 2</w:t>
      </w:r>
      <w:r w:rsidR="00215A28" w:rsidRPr="00AC355A">
        <w:rPr>
          <w:szCs w:val="20"/>
          <w:u w:val="single"/>
          <w:lang w:val="en-US"/>
        </w:rPr>
        <w:t xml:space="preserve"> (t</w:t>
      </w:r>
      <w:r w:rsidR="002C70FD" w:rsidRPr="00AC355A">
        <w:rPr>
          <w:szCs w:val="20"/>
          <w:u w:val="single"/>
          <w:lang w:val="en-US"/>
        </w:rPr>
        <w:t>he number of allocated symbols in each slot</w:t>
      </w:r>
      <w:r w:rsidRPr="00AC355A">
        <w:rPr>
          <w:szCs w:val="20"/>
          <w:u w:val="single"/>
          <w:lang w:val="en-US"/>
        </w:rPr>
        <w:t xml:space="preserve"> can be different</w:t>
      </w:r>
      <w:r w:rsidR="00215A28" w:rsidRPr="00AC355A">
        <w:rPr>
          <w:szCs w:val="20"/>
          <w:u w:val="single"/>
          <w:lang w:val="en-US"/>
        </w:rPr>
        <w:t>)</w:t>
      </w:r>
      <w:r w:rsidR="00215A28" w:rsidRPr="00AC355A">
        <w:rPr>
          <w:szCs w:val="20"/>
          <w:lang w:val="en-US"/>
        </w:rPr>
        <w:t>:</w:t>
      </w:r>
      <w:r w:rsidR="00215A28" w:rsidRPr="00AC355A">
        <w:rPr>
          <w:b/>
          <w:bCs/>
          <w:szCs w:val="20"/>
          <w:lang w:val="en-US"/>
        </w:rPr>
        <w:t xml:space="preserve"> </w:t>
      </w:r>
      <w:r w:rsidR="003B1BCF" w:rsidRPr="00AC355A">
        <w:rPr>
          <w:lang w:val="en-US"/>
        </w:rPr>
        <w:t xml:space="preserve">This option simply says that the time domain resource determination of </w:t>
      </w:r>
      <w:proofErr w:type="spellStart"/>
      <w:r w:rsidR="003B1BCF" w:rsidRPr="00AC355A">
        <w:rPr>
          <w:lang w:val="en-US"/>
        </w:rPr>
        <w:t>TBoMS</w:t>
      </w:r>
      <w:proofErr w:type="spellEnd"/>
      <w:r w:rsidR="003B1BCF" w:rsidRPr="00AC355A">
        <w:rPr>
          <w:lang w:val="en-US"/>
        </w:rPr>
        <w:t xml:space="preserve"> could satisfy similar constraints as the ones specified for PUSCH repetition type B, </w:t>
      </w:r>
      <w:r w:rsidR="003B1BCF" w:rsidRPr="00AC355A">
        <w:rPr>
          <w:b/>
          <w:bCs/>
          <w:lang w:val="en-US"/>
        </w:rPr>
        <w:t>in terms of how many symbols can be allocated per slot</w:t>
      </w:r>
      <w:r w:rsidR="00257F18" w:rsidRPr="00AC355A">
        <w:rPr>
          <w:b/>
          <w:bCs/>
          <w:lang w:val="en-US"/>
        </w:rPr>
        <w:t xml:space="preserve">, or across slots, </w:t>
      </w:r>
      <w:r w:rsidR="003B1BCF" w:rsidRPr="00AC355A">
        <w:rPr>
          <w:b/>
          <w:bCs/>
          <w:lang w:val="en-US"/>
        </w:rPr>
        <w:t xml:space="preserve">for </w:t>
      </w:r>
      <w:proofErr w:type="spellStart"/>
      <w:r w:rsidR="003B1BCF" w:rsidRPr="00AC355A">
        <w:rPr>
          <w:b/>
          <w:bCs/>
          <w:lang w:val="en-US"/>
        </w:rPr>
        <w:t>TBoMS</w:t>
      </w:r>
      <w:proofErr w:type="spellEnd"/>
      <w:r w:rsidR="003B1BCF" w:rsidRPr="00AC355A">
        <w:rPr>
          <w:lang w:val="en-US"/>
        </w:rPr>
        <w:t xml:space="preserve">. In other words, this option </w:t>
      </w:r>
      <w:r w:rsidR="003B1BCF" w:rsidRPr="00AC355A">
        <w:rPr>
          <w:szCs w:val="20"/>
          <w:lang w:val="en-US"/>
        </w:rPr>
        <w:t xml:space="preserve">does not introduce any constraint </w:t>
      </w:r>
      <w:r w:rsidR="00257F18" w:rsidRPr="00AC355A">
        <w:rPr>
          <w:szCs w:val="20"/>
          <w:lang w:val="en-US"/>
        </w:rPr>
        <w:t xml:space="preserve">on the TDRA of </w:t>
      </w:r>
      <w:proofErr w:type="spellStart"/>
      <w:r w:rsidR="00257F18" w:rsidRPr="00AC355A">
        <w:rPr>
          <w:szCs w:val="20"/>
          <w:lang w:val="en-US"/>
        </w:rPr>
        <w:t>TBoMS</w:t>
      </w:r>
      <w:proofErr w:type="spellEnd"/>
      <w:r w:rsidR="00257F18" w:rsidRPr="00AC355A">
        <w:rPr>
          <w:szCs w:val="20"/>
          <w:lang w:val="en-US"/>
        </w:rPr>
        <w:t xml:space="preserve"> in terms of</w:t>
      </w:r>
      <w:r w:rsidR="003B1BCF" w:rsidRPr="00AC355A">
        <w:rPr>
          <w:szCs w:val="20"/>
          <w:lang w:val="en-US"/>
        </w:rPr>
        <w:t xml:space="preserve"> number of symbols per slot (which could vary across slots) or on the total number of allocated symbols across slots (which could be different from a number of symbols per slot multiplied by the number of slots). Since the TDRA of PUSCH repetition type B also does not have </w:t>
      </w:r>
      <w:r w:rsidR="00257F18" w:rsidRPr="00AC355A">
        <w:rPr>
          <w:szCs w:val="20"/>
          <w:lang w:val="en-US"/>
        </w:rPr>
        <w:t xml:space="preserve">such </w:t>
      </w:r>
      <w:r w:rsidR="003B1BCF" w:rsidRPr="00AC355A">
        <w:rPr>
          <w:szCs w:val="20"/>
          <w:lang w:val="en-US"/>
        </w:rPr>
        <w:t>constraint</w:t>
      </w:r>
      <w:r w:rsidR="00257F18" w:rsidRPr="00AC355A">
        <w:rPr>
          <w:szCs w:val="20"/>
          <w:lang w:val="en-US"/>
        </w:rPr>
        <w:t>s, then it seemed natural to label it</w:t>
      </w:r>
      <w:r w:rsidR="003B1BCF" w:rsidRPr="00AC355A">
        <w:rPr>
          <w:szCs w:val="20"/>
          <w:lang w:val="en-US"/>
        </w:rPr>
        <w:t xml:space="preserve"> repetition-type-B-like TDRA. </w:t>
      </w:r>
      <w:r w:rsidR="003B1BCF" w:rsidRPr="00AC355A">
        <w:rPr>
          <w:lang w:val="en-US"/>
        </w:rPr>
        <w:t xml:space="preserve">However, this does not have any further implication on other aspects of the feature, e.g., TB to RE mapping, rate-matching, interleaving, RV and so on. </w:t>
      </w:r>
      <w:r w:rsidR="0015562A" w:rsidRPr="00AC355A">
        <w:rPr>
          <w:szCs w:val="20"/>
          <w:lang w:val="en-US"/>
        </w:rPr>
        <w:t>I</w:t>
      </w:r>
      <w:r w:rsidR="00257F18" w:rsidRPr="00AC355A">
        <w:rPr>
          <w:szCs w:val="20"/>
          <w:lang w:val="en-US"/>
        </w:rPr>
        <w:t xml:space="preserve">n this regard, it is worth remarking again that if this option is adopted for TDRA of </w:t>
      </w:r>
      <w:proofErr w:type="spellStart"/>
      <w:r w:rsidR="00257F18" w:rsidRPr="00AC355A">
        <w:rPr>
          <w:szCs w:val="20"/>
          <w:lang w:val="en-US"/>
        </w:rPr>
        <w:t>TBoMS</w:t>
      </w:r>
      <w:proofErr w:type="spellEnd"/>
      <w:r w:rsidR="00257F18" w:rsidRPr="00AC355A">
        <w:rPr>
          <w:szCs w:val="20"/>
          <w:lang w:val="en-US"/>
        </w:rPr>
        <w:t>, this does imply that a</w:t>
      </w:r>
      <w:r w:rsidR="0015562A" w:rsidRPr="00AC355A">
        <w:rPr>
          <w:szCs w:val="20"/>
          <w:lang w:val="en-US"/>
        </w:rPr>
        <w:t xml:space="preserve"> relation</w:t>
      </w:r>
      <w:r w:rsidR="00257F18" w:rsidRPr="00AC355A">
        <w:rPr>
          <w:szCs w:val="20"/>
          <w:lang w:val="en-US"/>
        </w:rPr>
        <w:t>ship exists</w:t>
      </w:r>
      <w:r w:rsidR="0015562A" w:rsidRPr="00AC355A">
        <w:rPr>
          <w:szCs w:val="20"/>
          <w:lang w:val="en-US"/>
        </w:rPr>
        <w:t xml:space="preserve"> between </w:t>
      </w:r>
      <w:r w:rsidR="00257F18" w:rsidRPr="00AC355A">
        <w:rPr>
          <w:szCs w:val="20"/>
          <w:lang w:val="en-US"/>
        </w:rPr>
        <w:t xml:space="preserve">how transmission of </w:t>
      </w:r>
      <w:proofErr w:type="spellStart"/>
      <w:r w:rsidR="0015562A" w:rsidRPr="00AC355A">
        <w:rPr>
          <w:szCs w:val="20"/>
          <w:lang w:val="en-US"/>
        </w:rPr>
        <w:t>TBoMS</w:t>
      </w:r>
      <w:proofErr w:type="spellEnd"/>
      <w:r w:rsidR="0015562A" w:rsidRPr="00AC355A">
        <w:rPr>
          <w:szCs w:val="20"/>
          <w:lang w:val="en-US"/>
        </w:rPr>
        <w:t xml:space="preserve"> and PUSCH repetition type B</w:t>
      </w:r>
      <w:r w:rsidR="00257F18" w:rsidRPr="00AC355A">
        <w:rPr>
          <w:szCs w:val="20"/>
          <w:lang w:val="en-US"/>
        </w:rPr>
        <w:t xml:space="preserve"> are performed by UE</w:t>
      </w:r>
      <w:r w:rsidR="0015562A" w:rsidRPr="00AC355A">
        <w:rPr>
          <w:szCs w:val="20"/>
          <w:lang w:val="en-US"/>
        </w:rPr>
        <w:t>.</w:t>
      </w:r>
    </w:p>
    <w:p w14:paraId="432E307D" w14:textId="2D614314" w:rsidR="003F1E08" w:rsidRDefault="00783C94" w:rsidP="00CF1B6F">
      <w:pPr>
        <w:spacing w:after="120" w:line="276" w:lineRule="auto"/>
        <w:jc w:val="both"/>
      </w:pPr>
      <w:r w:rsidRPr="004B6CCC">
        <w:t xml:space="preserve">We herein do not discuss about how the TDRA is indicated for the two options above for the sake of brevity. Discussion on TDRA indication can be found in our contribution submitted to RAN1#104-e for the same AI </w:t>
      </w:r>
      <w:r w:rsidR="00340A9C" w:rsidRPr="004B6CCC">
        <w:fldChar w:fldCharType="begin"/>
      </w:r>
      <w:r w:rsidR="00340A9C" w:rsidRPr="004B6CCC">
        <w:instrText xml:space="preserve"> REF _Ref68078900 \n \h </w:instrText>
      </w:r>
      <w:r w:rsidR="00BC12F5">
        <w:instrText xml:space="preserve"> \* MERGEFORMAT </w:instrText>
      </w:r>
      <w:r w:rsidR="00340A9C" w:rsidRPr="004B6CCC">
        <w:fldChar w:fldCharType="separate"/>
      </w:r>
      <w:r w:rsidR="00340A9C" w:rsidRPr="004B6CCC">
        <w:t>[2]</w:t>
      </w:r>
      <w:r w:rsidR="00340A9C" w:rsidRPr="004B6CCC">
        <w:fldChar w:fldCharType="end"/>
      </w:r>
      <w:r w:rsidRPr="004B6CCC">
        <w:t xml:space="preserve">. </w:t>
      </w:r>
      <w:r w:rsidR="006F4383" w:rsidRPr="004B6CCC">
        <w:t>However, s</w:t>
      </w:r>
      <w:r w:rsidR="00370AF5" w:rsidRPr="004B6CCC">
        <w:t xml:space="preserve">ince </w:t>
      </w:r>
      <w:proofErr w:type="spellStart"/>
      <w:r w:rsidR="00370AF5" w:rsidRPr="004B6CCC">
        <w:t>TBoMS</w:t>
      </w:r>
      <w:proofErr w:type="spellEnd"/>
      <w:r w:rsidR="00370AF5" w:rsidRPr="004B6CCC">
        <w:t xml:space="preserve"> is an independent feature, an independent TDRA indication procedure should be specified regardless of which of the above TDRA options is </w:t>
      </w:r>
      <w:r w:rsidR="00775CE1" w:rsidRPr="004B6CCC">
        <w:t>selected</w:t>
      </w:r>
      <w:r w:rsidR="00370AF5" w:rsidRPr="004B6CCC">
        <w:t>.</w:t>
      </w:r>
    </w:p>
    <w:p w14:paraId="16CFD2C7" w14:textId="6A7230CC" w:rsidR="008F721A" w:rsidRPr="004B6CCC" w:rsidRDefault="00354F4A" w:rsidP="00CF1B6F">
      <w:pPr>
        <w:pStyle w:val="Caption"/>
        <w:jc w:val="both"/>
        <w:rPr>
          <w:b w:val="0"/>
          <w:bCs/>
        </w:rPr>
      </w:pPr>
      <w:bookmarkStart w:id="3" w:name="_Toc61633959"/>
      <w:bookmarkStart w:id="4" w:name="_Toc68630586"/>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Pr>
          <w:noProof/>
          <w:szCs w:val="22"/>
        </w:rPr>
        <w:t>1</w:t>
      </w:r>
      <w:r w:rsidRPr="00B066E0">
        <w:rPr>
          <w:szCs w:val="22"/>
        </w:rPr>
        <w:fldChar w:fldCharType="end"/>
      </w:r>
      <w:r w:rsidRPr="00B066E0">
        <w:rPr>
          <w:szCs w:val="22"/>
        </w:rPr>
        <w:t xml:space="preserve">. </w:t>
      </w:r>
      <w:bookmarkEnd w:id="3"/>
      <w:r w:rsidR="008F721A" w:rsidRPr="004B6CCC">
        <w:rPr>
          <w:bCs/>
        </w:rPr>
        <w:t xml:space="preserve">RAN1 should specify </w:t>
      </w:r>
      <w:proofErr w:type="spellStart"/>
      <w:r w:rsidR="008F721A" w:rsidRPr="004B6CCC">
        <w:rPr>
          <w:bCs/>
        </w:rPr>
        <w:t>TBoMS</w:t>
      </w:r>
      <w:proofErr w:type="spellEnd"/>
      <w:r w:rsidR="008F721A" w:rsidRPr="004B6CCC">
        <w:rPr>
          <w:bCs/>
        </w:rPr>
        <w:t xml:space="preserve"> as an independent feature according to WID. It should not be considered as an enhancement of neither PUSCH repetition type A nor type B</w:t>
      </w:r>
      <w:r>
        <w:rPr>
          <w:bCs/>
        </w:rPr>
        <w:t>, regardless of how time domain resource determination is indicated</w:t>
      </w:r>
      <w:r w:rsidR="008F721A" w:rsidRPr="004B6CCC">
        <w:rPr>
          <w:bCs/>
        </w:rPr>
        <w:t>.</w:t>
      </w:r>
      <w:bookmarkEnd w:id="4"/>
      <w:r w:rsidR="008F721A" w:rsidRPr="004B6CCC">
        <w:rPr>
          <w:bCs/>
        </w:rPr>
        <w:t xml:space="preserve"> </w:t>
      </w:r>
    </w:p>
    <w:p w14:paraId="3283369A" w14:textId="77777777" w:rsidR="00D40CAE" w:rsidRPr="004B6CCC" w:rsidRDefault="00D40CAE" w:rsidP="00CF1B6F">
      <w:pPr>
        <w:keepNext/>
        <w:spacing w:after="120" w:line="276" w:lineRule="auto"/>
        <w:jc w:val="both"/>
      </w:pPr>
      <w:r>
        <w:rPr>
          <w:noProof/>
        </w:rPr>
        <w:drawing>
          <wp:inline distT="0" distB="0" distL="0" distR="0" wp14:anchorId="56F5A45C" wp14:editId="0591704E">
            <wp:extent cx="5955826" cy="2188560"/>
            <wp:effectExtent l="0" t="0" r="698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955826" cy="2188560"/>
                    </a:xfrm>
                    <a:prstGeom prst="rect">
                      <a:avLst/>
                    </a:prstGeom>
                  </pic:spPr>
                </pic:pic>
              </a:graphicData>
            </a:graphic>
          </wp:inline>
        </w:drawing>
      </w:r>
    </w:p>
    <w:p w14:paraId="4BC1F6F6" w14:textId="47380790" w:rsidR="00D40CAE" w:rsidRPr="004B6CCC" w:rsidRDefault="00D40CAE" w:rsidP="00CF1B6F">
      <w:pPr>
        <w:pStyle w:val="Caption"/>
        <w:jc w:val="center"/>
      </w:pPr>
      <w:bookmarkStart w:id="5" w:name="_Ref67922993"/>
      <w:r w:rsidRPr="004B6CCC">
        <w:t xml:space="preserve">Figure </w:t>
      </w:r>
      <w:r>
        <w:fldChar w:fldCharType="begin"/>
      </w:r>
      <w:r>
        <w:instrText>SEQ Figure \* ARABIC</w:instrText>
      </w:r>
      <w:r>
        <w:fldChar w:fldCharType="separate"/>
      </w:r>
      <w:r w:rsidR="00334593">
        <w:rPr>
          <w:noProof/>
        </w:rPr>
        <w:t>1</w:t>
      </w:r>
      <w:r>
        <w:fldChar w:fldCharType="end"/>
      </w:r>
      <w:bookmarkEnd w:id="5"/>
      <w:r w:rsidRPr="004B6CCC">
        <w:t xml:space="preserve">. Illustration of TDRA options for </w:t>
      </w:r>
      <w:proofErr w:type="spellStart"/>
      <w:r w:rsidRPr="004B6CCC">
        <w:t>TBoMS</w:t>
      </w:r>
      <w:proofErr w:type="spellEnd"/>
      <w:r w:rsidRPr="004B6CCC">
        <w:t>.</w:t>
      </w:r>
    </w:p>
    <w:p w14:paraId="430FB4EC" w14:textId="1548E8C9" w:rsidR="003F1E08" w:rsidRPr="004B6CCC" w:rsidRDefault="00D40CAE" w:rsidP="00CF1B6F">
      <w:pPr>
        <w:spacing w:after="120" w:line="276" w:lineRule="auto"/>
        <w:jc w:val="both"/>
      </w:pPr>
      <w:r w:rsidRPr="004B6CCC">
        <w:fldChar w:fldCharType="begin"/>
      </w:r>
      <w:r w:rsidRPr="004B6CCC">
        <w:instrText xml:space="preserve"> REF _Ref67922993 \h </w:instrText>
      </w:r>
      <w:r w:rsidR="00BC12F5">
        <w:instrText xml:space="preserve"> \* MERGEFORMAT </w:instrText>
      </w:r>
      <w:r w:rsidRPr="004B6CCC">
        <w:fldChar w:fldCharType="separate"/>
      </w:r>
      <w:r w:rsidR="00340A9C" w:rsidRPr="004B6CCC">
        <w:t>Figure 1</w:t>
      </w:r>
      <w:r w:rsidRPr="004B6CCC">
        <w:fldChar w:fldCharType="end"/>
      </w:r>
      <w:r w:rsidRPr="004B6CCC">
        <w:t xml:space="preserve"> illustrates the above TDRA Option 1 and Option 2</w:t>
      </w:r>
      <w:r w:rsidR="00352202" w:rsidRPr="004B6CCC">
        <w:t xml:space="preserve"> for </w:t>
      </w:r>
      <w:proofErr w:type="spellStart"/>
      <w:r w:rsidR="00352202" w:rsidRPr="004B6CCC">
        <w:t>TBoMS</w:t>
      </w:r>
      <w:proofErr w:type="spellEnd"/>
      <w:r w:rsidRPr="004B6CCC">
        <w:t>.</w:t>
      </w:r>
      <w:r w:rsidR="00557974" w:rsidRPr="004B6CCC">
        <w:t xml:space="preserve"> For both TDRA options, it can be observed that a </w:t>
      </w:r>
      <w:proofErr w:type="spellStart"/>
      <w:r w:rsidR="00557974" w:rsidRPr="004B6CCC">
        <w:t>TBoMS</w:t>
      </w:r>
      <w:proofErr w:type="spellEnd"/>
      <w:r w:rsidR="00557974" w:rsidRPr="004B6CCC">
        <w:t xml:space="preserve"> is transmitted on multiple </w:t>
      </w:r>
      <w:r w:rsidR="00B94E2E">
        <w:t xml:space="preserve">PUSCH </w:t>
      </w:r>
      <w:r w:rsidR="00354F4A">
        <w:t>segments</w:t>
      </w:r>
      <w:r w:rsidR="00B94E2E">
        <w:t xml:space="preserve"> (</w:t>
      </w:r>
      <w:r w:rsidR="00B94E2E" w:rsidRPr="00B71D3A">
        <w:rPr>
          <w:b/>
          <w:bCs/>
        </w:rPr>
        <w:t>referred to as PUSCH bundles in this document</w:t>
      </w:r>
      <w:r w:rsidR="00B94E2E">
        <w:t>)</w:t>
      </w:r>
      <w:r w:rsidR="00557974" w:rsidRPr="004B6CCC">
        <w:t xml:space="preserve">. The only difference between the two options is that there is no limitation on the size of a </w:t>
      </w:r>
      <w:r w:rsidR="00B94E2E">
        <w:t>PUSCH bundle</w:t>
      </w:r>
      <w:r w:rsidR="00557974" w:rsidRPr="004B6CCC">
        <w:t xml:space="preserve"> in Option 2. Intuitively, Option 2 allows to better exploit the UL symbols, which is especially useful </w:t>
      </w:r>
      <w:r w:rsidR="003D1657" w:rsidRPr="004B6CCC">
        <w:t>in coverage shortage</w:t>
      </w:r>
      <w:r w:rsidR="00354F4A">
        <w:t xml:space="preserve"> situation</w:t>
      </w:r>
      <w:r w:rsidR="003D1657" w:rsidRPr="004B6CCC">
        <w:t>. I</w:t>
      </w:r>
      <w:r w:rsidR="00354F4A">
        <w:t>t</w:t>
      </w:r>
      <w:r w:rsidR="003D1657" w:rsidRPr="004B6CCC">
        <w:t xml:space="preserve"> </w:t>
      </w:r>
      <w:r w:rsidR="00354F4A">
        <w:t xml:space="preserve">is rather evident </w:t>
      </w:r>
      <w:r w:rsidR="003D1657" w:rsidRPr="004B6CCC">
        <w:t xml:space="preserve">this option is fully aligned with the objective of </w:t>
      </w:r>
      <w:proofErr w:type="spellStart"/>
      <w:r w:rsidR="003D1657" w:rsidRPr="004B6CCC">
        <w:t>TBoMS</w:t>
      </w:r>
      <w:proofErr w:type="spellEnd"/>
      <w:r w:rsidR="003D1657" w:rsidRPr="004B6CCC">
        <w:t xml:space="preserve">, which is exploiting the resource in time-domain to either reduce the occupancy of channel bandwidth </w:t>
      </w:r>
      <w:r w:rsidR="006B2A22" w:rsidRPr="004B6CCC">
        <w:t>(</w:t>
      </w:r>
      <w:r w:rsidR="003D1657" w:rsidRPr="004B6CCC">
        <w:t>and hence increase the transmit power per resource element and improve the link budget</w:t>
      </w:r>
      <w:r w:rsidR="006B2A22" w:rsidRPr="004B6CCC">
        <w:t>) or reduce the coding rate.</w:t>
      </w:r>
      <w:r w:rsidR="00761C16" w:rsidRPr="004B6CCC">
        <w:t xml:space="preserve"> It </w:t>
      </w:r>
      <w:r w:rsidR="00354F4A">
        <w:t xml:space="preserve">also </w:t>
      </w:r>
      <w:r w:rsidR="00761C16" w:rsidRPr="004B6CCC">
        <w:t xml:space="preserve">is worth </w:t>
      </w:r>
      <w:r w:rsidR="00FF7485">
        <w:t>recalling</w:t>
      </w:r>
      <w:r w:rsidR="00761C16" w:rsidRPr="004B6CCC">
        <w:t xml:space="preserve"> that</w:t>
      </w:r>
      <w:r w:rsidR="00FF7485">
        <w:t>, as we discussed above,</w:t>
      </w:r>
      <w:r w:rsidR="00761C16" w:rsidRPr="004B6CCC">
        <w:t xml:space="preserve"> the selection of TDRA Option 1 or Option 2 is not related to how the encoded bits are mapped on the resource </w:t>
      </w:r>
      <w:r w:rsidR="00FF7485">
        <w:t>(</w:t>
      </w:r>
      <w:r w:rsidR="00761C16" w:rsidRPr="004B6CCC">
        <w:t>which</w:t>
      </w:r>
      <w:r w:rsidR="00FF7485">
        <w:t>, being it a completely different topic,</w:t>
      </w:r>
      <w:r w:rsidR="00761C16" w:rsidRPr="004B6CCC">
        <w:t xml:space="preserve"> will be discussed in Section </w:t>
      </w:r>
      <w:r w:rsidR="00761C16" w:rsidRPr="004B6CCC">
        <w:fldChar w:fldCharType="begin"/>
      </w:r>
      <w:r w:rsidR="00761C16" w:rsidRPr="004B6CCC">
        <w:instrText xml:space="preserve"> REF _Ref67993816 \n \h </w:instrText>
      </w:r>
      <w:r w:rsidR="00BC12F5">
        <w:instrText xml:space="preserve"> \* MERGEFORMAT </w:instrText>
      </w:r>
      <w:r w:rsidR="00761C16" w:rsidRPr="004B6CCC">
        <w:fldChar w:fldCharType="separate"/>
      </w:r>
      <w:r w:rsidR="00340A9C" w:rsidRPr="004B6CCC">
        <w:t>2.3</w:t>
      </w:r>
      <w:r w:rsidR="00761C16" w:rsidRPr="004B6CCC">
        <w:fldChar w:fldCharType="end"/>
      </w:r>
      <w:r w:rsidR="00E57FE0">
        <w:t>)</w:t>
      </w:r>
      <w:r w:rsidR="00761C16" w:rsidRPr="004B6CCC">
        <w:t>.</w:t>
      </w:r>
      <w:r w:rsidR="006B2A22" w:rsidRPr="004B6CCC">
        <w:t xml:space="preserve"> Therefore, Option 2 should be adopted for </w:t>
      </w:r>
      <w:proofErr w:type="spellStart"/>
      <w:r w:rsidR="006B2A22" w:rsidRPr="004B6CCC">
        <w:t>TBoMS</w:t>
      </w:r>
      <w:proofErr w:type="spellEnd"/>
      <w:r w:rsidR="006B2A22" w:rsidRPr="004B6CCC">
        <w:t>.</w:t>
      </w:r>
    </w:p>
    <w:p w14:paraId="082D8280" w14:textId="18919B19" w:rsidR="006B2A22" w:rsidRPr="004B6CCC" w:rsidRDefault="00FF7485" w:rsidP="00CF1B6F">
      <w:pPr>
        <w:pStyle w:val="Caption"/>
        <w:jc w:val="both"/>
        <w:rPr>
          <w:b w:val="0"/>
          <w:bCs/>
        </w:rPr>
      </w:pPr>
      <w:bookmarkStart w:id="6" w:name="_Toc68630587"/>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Pr>
          <w:noProof/>
          <w:szCs w:val="22"/>
        </w:rPr>
        <w:t>2</w:t>
      </w:r>
      <w:r w:rsidRPr="00B066E0">
        <w:rPr>
          <w:szCs w:val="22"/>
        </w:rPr>
        <w:fldChar w:fldCharType="end"/>
      </w:r>
      <w:r w:rsidRPr="00B066E0">
        <w:rPr>
          <w:szCs w:val="22"/>
        </w:rPr>
        <w:t xml:space="preserve">. </w:t>
      </w:r>
      <w:r w:rsidR="006B2A22" w:rsidRPr="004B6CCC">
        <w:rPr>
          <w:bCs/>
        </w:rPr>
        <w:t xml:space="preserve">For the time-domain resource allocation of </w:t>
      </w:r>
      <w:proofErr w:type="spellStart"/>
      <w:r w:rsidR="006B2A22" w:rsidRPr="004B6CCC">
        <w:rPr>
          <w:bCs/>
        </w:rPr>
        <w:t>TBoMS</w:t>
      </w:r>
      <w:proofErr w:type="spellEnd"/>
      <w:r w:rsidR="006B2A22" w:rsidRPr="004B6CCC">
        <w:rPr>
          <w:bCs/>
        </w:rPr>
        <w:t xml:space="preserve">, the number of allocated symbols in each slot can be different. The design of </w:t>
      </w:r>
      <w:r w:rsidR="00087439" w:rsidRPr="004B6CCC">
        <w:rPr>
          <w:bCs/>
        </w:rPr>
        <w:t>time-domain resource allocation</w:t>
      </w:r>
      <w:r w:rsidR="006B2A22" w:rsidRPr="004B6CCC">
        <w:rPr>
          <w:bCs/>
        </w:rPr>
        <w:t xml:space="preserve"> for </w:t>
      </w:r>
      <w:proofErr w:type="spellStart"/>
      <w:r w:rsidR="006B2A22" w:rsidRPr="004B6CCC">
        <w:rPr>
          <w:bCs/>
        </w:rPr>
        <w:t>TBoMS</w:t>
      </w:r>
      <w:proofErr w:type="spellEnd"/>
      <w:r w:rsidR="006B2A22" w:rsidRPr="004B6CCC">
        <w:rPr>
          <w:bCs/>
        </w:rPr>
        <w:t xml:space="preserve"> should allow the feature to leverage as much as possible the UL resource in time-domain.</w:t>
      </w:r>
      <w:bookmarkEnd w:id="6"/>
    </w:p>
    <w:p w14:paraId="4A493294" w14:textId="6EA22DF8" w:rsidR="006B2A22" w:rsidRPr="004B6CCC" w:rsidRDefault="002F1F61" w:rsidP="00CF1B6F">
      <w:pPr>
        <w:pStyle w:val="Heading3"/>
        <w:jc w:val="both"/>
        <w:rPr>
          <w:lang w:val="en-US"/>
        </w:rPr>
      </w:pPr>
      <w:r w:rsidRPr="004B6CCC">
        <w:rPr>
          <w:lang w:val="en-US"/>
        </w:rPr>
        <w:lastRenderedPageBreak/>
        <w:t>The use of non-consecutive physical UL slots</w:t>
      </w:r>
    </w:p>
    <w:p w14:paraId="3FD1DE50" w14:textId="6EA1A85E" w:rsidR="002F1F61" w:rsidRPr="004B6CCC" w:rsidRDefault="002F1F61" w:rsidP="00CF1B6F">
      <w:pPr>
        <w:spacing w:after="0" w:line="276" w:lineRule="auto"/>
        <w:contextualSpacing/>
        <w:jc w:val="both"/>
      </w:pPr>
      <w:r w:rsidRPr="004B6CCC">
        <w:t>The following agreements were made in RAN1#104-e:</w:t>
      </w:r>
    </w:p>
    <w:tbl>
      <w:tblPr>
        <w:tblStyle w:val="TableGrid"/>
        <w:tblW w:w="0" w:type="auto"/>
        <w:tblLook w:val="04A0" w:firstRow="1" w:lastRow="0" w:firstColumn="1" w:lastColumn="0" w:noHBand="0" w:noVBand="1"/>
      </w:tblPr>
      <w:tblGrid>
        <w:gridCol w:w="9629"/>
      </w:tblGrid>
      <w:tr w:rsidR="002F1F61" w:rsidRPr="004B6CCC" w14:paraId="0600B2F2" w14:textId="77777777" w:rsidTr="002F1F61">
        <w:tc>
          <w:tcPr>
            <w:tcW w:w="9629" w:type="dxa"/>
          </w:tcPr>
          <w:p w14:paraId="7861D68A" w14:textId="77777777" w:rsidR="002F1F61" w:rsidRPr="004B6CCC" w:rsidRDefault="002F1F61" w:rsidP="00CF1B6F">
            <w:pPr>
              <w:spacing w:after="0" w:line="276" w:lineRule="auto"/>
              <w:contextualSpacing/>
              <w:jc w:val="both"/>
            </w:pPr>
            <w:r w:rsidRPr="004B6CCC">
              <w:rPr>
                <w:highlight w:val="green"/>
              </w:rPr>
              <w:t>Agreements:</w:t>
            </w:r>
          </w:p>
          <w:p w14:paraId="5C705841" w14:textId="77777777" w:rsidR="002F1F61" w:rsidRPr="004B6CCC" w:rsidRDefault="002F1F61" w:rsidP="00CF1B6F">
            <w:pPr>
              <w:numPr>
                <w:ilvl w:val="0"/>
                <w:numId w:val="33"/>
              </w:numPr>
              <w:spacing w:after="0" w:line="276" w:lineRule="auto"/>
              <w:contextualSpacing/>
              <w:jc w:val="both"/>
            </w:pPr>
            <w:r w:rsidRPr="004B6CCC">
              <w:t xml:space="preserve">Consecutive physical slots for UL transmission can be used for </w:t>
            </w:r>
            <w:proofErr w:type="spellStart"/>
            <w:r w:rsidRPr="004B6CCC">
              <w:t>TBoMS</w:t>
            </w:r>
            <w:proofErr w:type="spellEnd"/>
            <w:r w:rsidRPr="004B6CCC">
              <w:t xml:space="preserve"> for unpaired spectrum </w:t>
            </w:r>
          </w:p>
          <w:p w14:paraId="5CF693A6" w14:textId="77777777" w:rsidR="002F1F61" w:rsidRPr="004B6CCC" w:rsidRDefault="002F1F61" w:rsidP="00CF1B6F">
            <w:pPr>
              <w:numPr>
                <w:ilvl w:val="1"/>
                <w:numId w:val="33"/>
              </w:numPr>
              <w:spacing w:after="0" w:line="276" w:lineRule="auto"/>
              <w:contextualSpacing/>
              <w:jc w:val="both"/>
            </w:pPr>
            <w:r w:rsidRPr="004B6CCC">
              <w:t xml:space="preserve">To resolve in RAN1#104b-e whether to support non-consecutive physical slots for UL transmission for </w:t>
            </w:r>
            <w:proofErr w:type="spellStart"/>
            <w:r w:rsidRPr="004B6CCC">
              <w:t>TBoMS</w:t>
            </w:r>
            <w:proofErr w:type="spellEnd"/>
            <w:r w:rsidRPr="004B6CCC">
              <w:t xml:space="preserve"> for unpaired spectrum </w:t>
            </w:r>
          </w:p>
          <w:p w14:paraId="7A8B1F91" w14:textId="77777777" w:rsidR="002F1F61" w:rsidRPr="004B6CCC" w:rsidRDefault="002F1F61" w:rsidP="00CF1B6F">
            <w:pPr>
              <w:numPr>
                <w:ilvl w:val="0"/>
                <w:numId w:val="33"/>
              </w:numPr>
              <w:spacing w:after="0" w:line="276" w:lineRule="auto"/>
              <w:contextualSpacing/>
              <w:jc w:val="both"/>
            </w:pPr>
            <w:r w:rsidRPr="004B6CCC">
              <w:t xml:space="preserve">Consecutive physical slots for UL transmission can be used for </w:t>
            </w:r>
            <w:proofErr w:type="spellStart"/>
            <w:r w:rsidRPr="004B6CCC">
              <w:t>TBoMS</w:t>
            </w:r>
            <w:proofErr w:type="spellEnd"/>
            <w:r w:rsidRPr="004B6CCC">
              <w:t xml:space="preserve"> for paired spectrum and the SUL band </w:t>
            </w:r>
          </w:p>
          <w:p w14:paraId="64DCCF11" w14:textId="3448C346" w:rsidR="002F1F61" w:rsidRPr="004B6CCC" w:rsidRDefault="002F1F61" w:rsidP="00CF1B6F">
            <w:pPr>
              <w:numPr>
                <w:ilvl w:val="1"/>
                <w:numId w:val="33"/>
              </w:numPr>
              <w:spacing w:after="0" w:line="276" w:lineRule="auto"/>
              <w:contextualSpacing/>
              <w:jc w:val="both"/>
            </w:pPr>
            <w:r w:rsidRPr="004B6CCC">
              <w:t>FFS if non-consecutive physical slots for UL transmission are also supported for paired spectrum and the SUL band</w:t>
            </w:r>
          </w:p>
        </w:tc>
      </w:tr>
    </w:tbl>
    <w:p w14:paraId="1FA7ABDA" w14:textId="77777777" w:rsidR="00FF7485" w:rsidRDefault="00FF7485" w:rsidP="00CF1B6F">
      <w:pPr>
        <w:spacing w:before="240" w:after="120" w:line="276" w:lineRule="auto"/>
        <w:contextualSpacing/>
        <w:jc w:val="both"/>
      </w:pPr>
    </w:p>
    <w:p w14:paraId="6C6D9DB6" w14:textId="11CDCFC0" w:rsidR="006E1FB2" w:rsidRPr="004B6CCC" w:rsidRDefault="002F1F61" w:rsidP="00CF1B6F">
      <w:pPr>
        <w:spacing w:before="240" w:after="120" w:line="276" w:lineRule="auto"/>
        <w:contextualSpacing/>
        <w:jc w:val="both"/>
        <w:rPr>
          <w:rFonts w:cs="Arial"/>
        </w:rPr>
      </w:pPr>
      <w:r>
        <w:t xml:space="preserve">According to the above agreements, consecutive physical slots can be used for </w:t>
      </w:r>
      <w:proofErr w:type="spellStart"/>
      <w:r>
        <w:t>TBoMS</w:t>
      </w:r>
      <w:proofErr w:type="spellEnd"/>
      <w:r>
        <w:t xml:space="preserve"> for both unpaired and paired spectrum including SUL band. However, there is still an open issue </w:t>
      </w:r>
      <w:r w:rsidR="00B9071D">
        <w:t xml:space="preserve">concerning </w:t>
      </w:r>
      <w:r>
        <w:t xml:space="preserve">whether non-consecutive physical slots </w:t>
      </w:r>
      <w:r w:rsidR="008710BF">
        <w:t xml:space="preserve">can also be used for </w:t>
      </w:r>
      <w:proofErr w:type="spellStart"/>
      <w:r w:rsidR="008710BF">
        <w:t>TBoMS</w:t>
      </w:r>
      <w:proofErr w:type="spellEnd"/>
      <w:r w:rsidR="008710BF">
        <w:t>.</w:t>
      </w:r>
      <w:r w:rsidR="0007389D">
        <w:t xml:space="preserve"> </w:t>
      </w:r>
      <w:r w:rsidR="006E1FB2">
        <w:t>Before taking a decision on th</w:t>
      </w:r>
      <w:r w:rsidR="00B9071D">
        <w:t>e</w:t>
      </w:r>
      <w:r w:rsidR="006E1FB2">
        <w:t xml:space="preserve"> open issue, one should firstly </w:t>
      </w:r>
      <w:r w:rsidR="00B9071D">
        <w:t xml:space="preserve">identify use cases of </w:t>
      </w:r>
      <w:proofErr w:type="spellStart"/>
      <w:r w:rsidR="00B9071D">
        <w:t>TBoMS</w:t>
      </w:r>
      <w:proofErr w:type="spellEnd"/>
      <w:r w:rsidR="00B9071D">
        <w:t xml:space="preserve"> and then analyze whether using non-consecutive physical slots is important for the use cases. In </w:t>
      </w:r>
      <w:r w:rsidR="3C1DD9AB">
        <w:t>this regard</w:t>
      </w:r>
      <w:r w:rsidR="00B9071D">
        <w:t>, l</w:t>
      </w:r>
      <w:r w:rsidR="006E1FB2">
        <w:t xml:space="preserve">et us start by pointing out the following two main use cases of </w:t>
      </w:r>
      <w:proofErr w:type="spellStart"/>
      <w:r w:rsidR="006E1FB2">
        <w:t>TBoMS</w:t>
      </w:r>
      <w:proofErr w:type="spellEnd"/>
      <w:r w:rsidR="006E1FB2">
        <w:t xml:space="preserve"> for improving the coverage:</w:t>
      </w:r>
    </w:p>
    <w:p w14:paraId="0839F421" w14:textId="7C6CA0A2" w:rsidR="006E1FB2" w:rsidRPr="00E57FE0" w:rsidRDefault="006E1FB2" w:rsidP="002B2E66">
      <w:pPr>
        <w:pStyle w:val="ListParagraph"/>
        <w:numPr>
          <w:ilvl w:val="0"/>
          <w:numId w:val="35"/>
        </w:numPr>
        <w:rPr>
          <w:lang w:val="en-US"/>
        </w:rPr>
      </w:pPr>
      <w:r w:rsidRPr="00E57FE0">
        <w:rPr>
          <w:u w:val="single"/>
          <w:lang w:val="en-US"/>
        </w:rPr>
        <w:t>Use case A</w:t>
      </w:r>
      <w:r w:rsidRPr="00E57FE0">
        <w:rPr>
          <w:lang w:val="en-US"/>
        </w:rPr>
        <w:t xml:space="preserve">: </w:t>
      </w:r>
      <w:r w:rsidR="00800B03" w:rsidRPr="00E57FE0">
        <w:rPr>
          <w:lang w:val="en-US"/>
        </w:rPr>
        <w:t>For a given TBS and number of PRBs, increasing the number of slots over which TB can be transmitted allows to configure a smaller MCS index</w:t>
      </w:r>
      <w:r w:rsidR="00E57FE0">
        <w:rPr>
          <w:lang w:val="en-US"/>
        </w:rPr>
        <w:t>.</w:t>
      </w:r>
      <w:r w:rsidR="00800B03" w:rsidRPr="00E57FE0">
        <w:rPr>
          <w:lang w:val="en-US"/>
        </w:rPr>
        <w:t xml:space="preserve"> Accordingly, </w:t>
      </w:r>
      <w:r w:rsidR="0007389D" w:rsidRPr="00E57FE0">
        <w:rPr>
          <w:lang w:val="en-US"/>
        </w:rPr>
        <w:t xml:space="preserve">the gain </w:t>
      </w:r>
      <w:r w:rsidR="00E57FE0" w:rsidRPr="00E57FE0">
        <w:rPr>
          <w:lang w:val="en-US"/>
        </w:rPr>
        <w:t>brought</w:t>
      </w:r>
      <w:r w:rsidR="00800B03" w:rsidRPr="00E57FE0">
        <w:rPr>
          <w:lang w:val="en-US"/>
        </w:rPr>
        <w:t xml:space="preserve"> by transmitting the TB over </w:t>
      </w:r>
      <m:oMath>
        <m:r>
          <w:rPr>
            <w:rFonts w:ascii="Cambria Math" w:hAnsi="Cambria Math"/>
            <w:lang w:val="en-US"/>
          </w:rPr>
          <m:t>M</m:t>
        </m:r>
      </m:oMath>
      <w:r w:rsidR="00800B03" w:rsidRPr="00E57FE0">
        <w:rPr>
          <w:lang w:val="en-US"/>
        </w:rPr>
        <w:t xml:space="preserve"> instead of </w:t>
      </w:r>
      <m:oMath>
        <m:r>
          <w:rPr>
            <w:rFonts w:ascii="Cambria Math" w:hAnsi="Cambria Math"/>
            <w:lang w:val="en-US"/>
          </w:rPr>
          <m:t>N</m:t>
        </m:r>
      </m:oMath>
      <w:r w:rsidR="00800B03" w:rsidRPr="00E57FE0">
        <w:rPr>
          <w:lang w:val="en-US"/>
        </w:rPr>
        <w:t xml:space="preserve"> slots, with </w:t>
      </w:r>
      <m:oMath>
        <m:r>
          <w:rPr>
            <w:rFonts w:ascii="Cambria Math" w:hAnsi="Cambria Math"/>
            <w:lang w:val="en-US"/>
          </w:rPr>
          <m:t>M&gt;N</m:t>
        </m:r>
      </m:oMath>
      <w:r w:rsidR="00800B03" w:rsidRPr="00E57FE0">
        <w:rPr>
          <w:lang w:val="en-US"/>
        </w:rPr>
        <w:t xml:space="preserve">, </w:t>
      </w:r>
      <w:r w:rsidR="0007389D" w:rsidRPr="00E57FE0">
        <w:rPr>
          <w:lang w:val="en-US"/>
        </w:rPr>
        <w:t xml:space="preserve">comes from the </w:t>
      </w:r>
      <w:r w:rsidR="00800B03" w:rsidRPr="00E57FE0">
        <w:rPr>
          <w:lang w:val="en-US"/>
        </w:rPr>
        <w:t xml:space="preserve">lower experienced </w:t>
      </w:r>
      <w:r w:rsidR="0007389D" w:rsidRPr="00E57FE0">
        <w:rPr>
          <w:lang w:val="en-US"/>
        </w:rPr>
        <w:t>coding rate</w:t>
      </w:r>
      <w:r w:rsidR="00800B03" w:rsidRPr="00E57FE0">
        <w:rPr>
          <w:lang w:val="en-US"/>
        </w:rPr>
        <w:t xml:space="preserve"> thanks to the smaller MCS index which can be used when a </w:t>
      </w:r>
      <w:r w:rsidR="000D5767" w:rsidRPr="00E57FE0">
        <w:rPr>
          <w:lang w:val="en-US"/>
        </w:rPr>
        <w:t>larger number</w:t>
      </w:r>
      <w:r w:rsidR="0007389D" w:rsidRPr="00E57FE0">
        <w:rPr>
          <w:lang w:val="en-US"/>
        </w:rPr>
        <w:t xml:space="preserve"> </w:t>
      </w:r>
      <w:r w:rsidR="000D5767" w:rsidRPr="00E57FE0">
        <w:rPr>
          <w:lang w:val="en-US"/>
        </w:rPr>
        <w:t xml:space="preserve">of </w:t>
      </w:r>
      <w:r w:rsidR="0007389D" w:rsidRPr="00E57FE0">
        <w:rPr>
          <w:lang w:val="en-US"/>
        </w:rPr>
        <w:t>resource</w:t>
      </w:r>
      <w:r w:rsidR="000D5767" w:rsidRPr="00E57FE0">
        <w:rPr>
          <w:lang w:val="en-US"/>
        </w:rPr>
        <w:t>s</w:t>
      </w:r>
      <w:r w:rsidR="0007389D" w:rsidRPr="00E57FE0">
        <w:rPr>
          <w:lang w:val="en-US"/>
        </w:rPr>
        <w:t xml:space="preserve"> </w:t>
      </w:r>
      <w:r w:rsidR="00800B03" w:rsidRPr="00E57FE0">
        <w:rPr>
          <w:lang w:val="en-US"/>
        </w:rPr>
        <w:t xml:space="preserve">is allocated </w:t>
      </w:r>
      <w:r w:rsidR="0007389D" w:rsidRPr="00E57FE0">
        <w:rPr>
          <w:lang w:val="en-US"/>
        </w:rPr>
        <w:t xml:space="preserve">in </w:t>
      </w:r>
      <w:r w:rsidR="00800B03" w:rsidRPr="00E57FE0">
        <w:rPr>
          <w:lang w:val="en-US"/>
        </w:rPr>
        <w:t xml:space="preserve">the </w:t>
      </w:r>
      <w:r w:rsidR="0007389D" w:rsidRPr="00E57FE0">
        <w:rPr>
          <w:lang w:val="en-US"/>
        </w:rPr>
        <w:t>time-domain.</w:t>
      </w:r>
    </w:p>
    <w:p w14:paraId="5ECA70DD" w14:textId="092A328A" w:rsidR="002F1F61" w:rsidRPr="00E57FE0" w:rsidRDefault="006E1FB2" w:rsidP="002B2E66">
      <w:pPr>
        <w:pStyle w:val="ListParagraph"/>
        <w:numPr>
          <w:ilvl w:val="0"/>
          <w:numId w:val="35"/>
        </w:numPr>
        <w:rPr>
          <w:lang w:val="en-US"/>
        </w:rPr>
      </w:pPr>
      <w:r w:rsidRPr="00E57FE0">
        <w:rPr>
          <w:u w:val="single"/>
          <w:lang w:val="en-US"/>
        </w:rPr>
        <w:t>Use case B</w:t>
      </w:r>
      <w:r w:rsidRPr="00E57FE0">
        <w:rPr>
          <w:lang w:val="en-US"/>
        </w:rPr>
        <w:t xml:space="preserve">: </w:t>
      </w:r>
      <w:r w:rsidR="0007389D" w:rsidRPr="00E57FE0">
        <w:rPr>
          <w:lang w:val="en-US"/>
        </w:rPr>
        <w:t xml:space="preserve">A smaller number of PRBs can be allocated </w:t>
      </w:r>
      <w:r w:rsidR="000D5767" w:rsidRPr="00E57FE0">
        <w:rPr>
          <w:lang w:val="en-US"/>
        </w:rPr>
        <w:t xml:space="preserve">for </w:t>
      </w:r>
      <w:proofErr w:type="spellStart"/>
      <w:r w:rsidR="000D5767" w:rsidRPr="00E57FE0">
        <w:rPr>
          <w:lang w:val="en-US"/>
        </w:rPr>
        <w:t>TBoMS</w:t>
      </w:r>
      <w:proofErr w:type="spellEnd"/>
      <w:r w:rsidR="000D5767" w:rsidRPr="00E57FE0">
        <w:rPr>
          <w:lang w:val="en-US"/>
        </w:rPr>
        <w:t xml:space="preserve"> </w:t>
      </w:r>
      <w:r w:rsidR="0007389D" w:rsidRPr="00E57FE0">
        <w:rPr>
          <w:lang w:val="en-US"/>
        </w:rPr>
        <w:t>such that the</w:t>
      </w:r>
      <w:r w:rsidR="006A0C94" w:rsidRPr="00E57FE0">
        <w:rPr>
          <w:lang w:val="en-US"/>
        </w:rPr>
        <w:t xml:space="preserve"> TBS and</w:t>
      </w:r>
      <w:r w:rsidR="0007389D" w:rsidRPr="00E57FE0">
        <w:rPr>
          <w:lang w:val="en-US"/>
        </w:rPr>
        <w:t xml:space="preserve"> coding rate </w:t>
      </w:r>
      <w:r w:rsidR="000D5767" w:rsidRPr="00E57FE0">
        <w:rPr>
          <w:lang w:val="en-US"/>
        </w:rPr>
        <w:t xml:space="preserve">is the same as </w:t>
      </w:r>
      <w:r w:rsidR="0007389D" w:rsidRPr="00E57FE0">
        <w:rPr>
          <w:lang w:val="en-US"/>
        </w:rPr>
        <w:t xml:space="preserve">in case of single-slot </w:t>
      </w:r>
      <w:r w:rsidR="000D5767" w:rsidRPr="00E57FE0">
        <w:rPr>
          <w:lang w:val="en-US"/>
        </w:rPr>
        <w:t>TB transmission</w:t>
      </w:r>
      <w:r w:rsidR="0007389D" w:rsidRPr="00E57FE0">
        <w:rPr>
          <w:lang w:val="en-US"/>
        </w:rPr>
        <w:t xml:space="preserve">. In this case, link budget gain is achieved thanks to the </w:t>
      </w:r>
      <w:r w:rsidR="6895CDBF" w:rsidRPr="00E57FE0">
        <w:rPr>
          <w:lang w:val="en-US"/>
        </w:rPr>
        <w:t xml:space="preserve">larger transmit </w:t>
      </w:r>
      <w:r w:rsidR="00D72FAB" w:rsidRPr="00E57FE0">
        <w:rPr>
          <w:lang w:val="en-US"/>
        </w:rPr>
        <w:t>energy</w:t>
      </w:r>
      <w:r w:rsidR="6895CDBF" w:rsidRPr="00E57FE0">
        <w:rPr>
          <w:lang w:val="en-US"/>
        </w:rPr>
        <w:t xml:space="preserve"> per resource element</w:t>
      </w:r>
      <w:r w:rsidR="0007389D" w:rsidRPr="00E57FE0">
        <w:rPr>
          <w:lang w:val="en-US"/>
        </w:rPr>
        <w:t xml:space="preserve"> offered by the reduction of occupied </w:t>
      </w:r>
      <w:r w:rsidR="3E553863" w:rsidRPr="00E57FE0">
        <w:rPr>
          <w:lang w:val="en-US"/>
        </w:rPr>
        <w:t>frequency resources</w:t>
      </w:r>
      <w:r w:rsidR="0007389D" w:rsidRPr="00E57FE0">
        <w:rPr>
          <w:lang w:val="en-US"/>
        </w:rPr>
        <w:t>.</w:t>
      </w:r>
    </w:p>
    <w:p w14:paraId="07D2F5CC" w14:textId="215E662F" w:rsidR="00800B03" w:rsidRDefault="00F437CE" w:rsidP="00CF1B6F">
      <w:pPr>
        <w:spacing w:after="120" w:line="276" w:lineRule="auto"/>
        <w:jc w:val="both"/>
      </w:pPr>
      <w:r>
        <w:t xml:space="preserve">For </w:t>
      </w:r>
      <w:r w:rsidR="000D5767">
        <w:t xml:space="preserve">both </w:t>
      </w:r>
      <w:r>
        <w:t xml:space="preserve">use cases, it can be observed that </w:t>
      </w:r>
      <w:proofErr w:type="spellStart"/>
      <w:r w:rsidR="00800B03">
        <w:t>TBoMS</w:t>
      </w:r>
      <w:proofErr w:type="spellEnd"/>
      <w:r w:rsidR="00800B03">
        <w:t xml:space="preserve"> manages to increase coverage of PUSCH at the cost of throughput reduction, i.e., </w:t>
      </w:r>
      <w:r>
        <w:t xml:space="preserve">throughput is traded for coverage and the more UL symbols </w:t>
      </w:r>
      <w:r w:rsidR="00F94036">
        <w:t xml:space="preserve">are </w:t>
      </w:r>
      <w:r>
        <w:t>use</w:t>
      </w:r>
      <w:r w:rsidR="00F94036">
        <w:t>d</w:t>
      </w:r>
      <w:r>
        <w:t xml:space="preserve"> for </w:t>
      </w:r>
      <w:proofErr w:type="spellStart"/>
      <w:r>
        <w:t>TBoMS</w:t>
      </w:r>
      <w:proofErr w:type="spellEnd"/>
      <w:r w:rsidR="00F94036">
        <w:t>,</w:t>
      </w:r>
      <w:r>
        <w:t xml:space="preserve"> the better coverage can be achieved</w:t>
      </w:r>
      <w:r w:rsidR="000D5767">
        <w:t xml:space="preserve"> by PUSCH</w:t>
      </w:r>
      <w:r>
        <w:t>.</w:t>
      </w:r>
      <w:r w:rsidR="00F94036">
        <w:t xml:space="preserve"> </w:t>
      </w:r>
      <w:r w:rsidR="00800B03">
        <w:t xml:space="preserve">Therefore, if strong limitations existed in terms of number of slots which can be used for </w:t>
      </w:r>
      <w:proofErr w:type="spellStart"/>
      <w:r w:rsidR="00800B03">
        <w:t>TBoMS</w:t>
      </w:r>
      <w:proofErr w:type="spellEnd"/>
      <w:r w:rsidR="00800B03">
        <w:t xml:space="preserve">, the benefits brought by the adoption of this feature would be highly questionable, especially if spec and implementation impact are </w:t>
      </w:r>
      <w:r w:rsidR="00CF1B6F">
        <w:t xml:space="preserve">also </w:t>
      </w:r>
      <w:r w:rsidR="00800B03">
        <w:t xml:space="preserve">considered. </w:t>
      </w:r>
    </w:p>
    <w:p w14:paraId="56688D83" w14:textId="4AB38356" w:rsidR="00F437CE" w:rsidRPr="004B6CCC" w:rsidRDefault="00C07E45" w:rsidP="00CF1B6F">
      <w:pPr>
        <w:spacing w:after="120" w:line="276" w:lineRule="auto"/>
        <w:jc w:val="both"/>
      </w:pPr>
      <w:r w:rsidRPr="004B6CCC">
        <w:t xml:space="preserve">From the above observation, it can be deduced that if non-consecutive slots are not supported for </w:t>
      </w:r>
      <w:proofErr w:type="spellStart"/>
      <w:r w:rsidRPr="004B6CCC">
        <w:t>TBoMS</w:t>
      </w:r>
      <w:proofErr w:type="spellEnd"/>
      <w:r w:rsidRPr="004B6CCC">
        <w:t xml:space="preserve">, the </w:t>
      </w:r>
      <w:r w:rsidR="00945AF9">
        <w:t xml:space="preserve">coverage increase </w:t>
      </w:r>
      <w:r w:rsidRPr="004B6CCC">
        <w:t xml:space="preserve">this feature </w:t>
      </w:r>
      <w:r w:rsidR="00945AF9">
        <w:t xml:space="preserve">can bring </w:t>
      </w:r>
      <w:r w:rsidRPr="004B6CCC">
        <w:t xml:space="preserve">is </w:t>
      </w:r>
      <w:r w:rsidR="00945AF9">
        <w:t xml:space="preserve">extremely </w:t>
      </w:r>
      <w:r w:rsidRPr="004B6CCC">
        <w:t>questionable for TDD deployment</w:t>
      </w:r>
      <w:r w:rsidR="00945AF9">
        <w:t xml:space="preserve"> and its practical relevance very small</w:t>
      </w:r>
      <w:r w:rsidRPr="004B6CCC">
        <w:t xml:space="preserve">. In addition, it is worth noting that if </w:t>
      </w:r>
      <w:r w:rsidR="00087439" w:rsidRPr="004B6CCC">
        <w:t xml:space="preserve">non-consecutive slots are not supported for </w:t>
      </w:r>
      <w:proofErr w:type="spellStart"/>
      <w:r w:rsidR="00087439" w:rsidRPr="004B6CCC">
        <w:t>TBoMS</w:t>
      </w:r>
      <w:proofErr w:type="spellEnd"/>
      <w:r w:rsidR="00087439" w:rsidRPr="004B6CCC">
        <w:t xml:space="preserve">, it is </w:t>
      </w:r>
      <w:r w:rsidR="00945AF9">
        <w:t xml:space="preserve">even more </w:t>
      </w:r>
      <w:r w:rsidR="00087439" w:rsidRPr="004B6CCC">
        <w:t xml:space="preserve">critical to support TDRA Option 2 in Section </w:t>
      </w:r>
      <w:r w:rsidR="00087439" w:rsidRPr="004B6CCC">
        <w:fldChar w:fldCharType="begin"/>
      </w:r>
      <w:r w:rsidR="00087439" w:rsidRPr="004B6CCC">
        <w:instrText xml:space="preserve"> REF _Ref68035203 \n \h </w:instrText>
      </w:r>
      <w:r w:rsidR="00BC12F5">
        <w:instrText xml:space="preserve"> \* MERGEFORMAT </w:instrText>
      </w:r>
      <w:r w:rsidR="00087439" w:rsidRPr="004B6CCC">
        <w:fldChar w:fldCharType="separate"/>
      </w:r>
      <w:r w:rsidR="00340A9C" w:rsidRPr="004B6CCC">
        <w:t>2.1.1</w:t>
      </w:r>
      <w:r w:rsidR="00087439" w:rsidRPr="004B6CCC">
        <w:fldChar w:fldCharType="end"/>
      </w:r>
      <w:r w:rsidR="00087439" w:rsidRPr="004B6CCC">
        <w:t xml:space="preserve">, so that the UL symbols in the S slot can be used for </w:t>
      </w:r>
      <w:proofErr w:type="spellStart"/>
      <w:r w:rsidR="00087439" w:rsidRPr="004B6CCC">
        <w:t>TBoMS</w:t>
      </w:r>
      <w:proofErr w:type="spellEnd"/>
      <w:r w:rsidR="00087439" w:rsidRPr="004B6CCC">
        <w:t xml:space="preserve"> for some common TDD patterns such as DDDSU. Otherwise, </w:t>
      </w:r>
      <w:proofErr w:type="spellStart"/>
      <w:r w:rsidR="00087439" w:rsidRPr="004B6CCC">
        <w:t>TBoMS</w:t>
      </w:r>
      <w:proofErr w:type="spellEnd"/>
      <w:r w:rsidR="00087439" w:rsidRPr="004B6CCC">
        <w:t xml:space="preserve"> cannot be applied for this TDD pattern.</w:t>
      </w:r>
    </w:p>
    <w:p w14:paraId="1C447D7D" w14:textId="31F8119A" w:rsidR="00CF1B6F" w:rsidRDefault="00CF1B6F" w:rsidP="00CF1B6F">
      <w:pPr>
        <w:pStyle w:val="Caption"/>
        <w:jc w:val="both"/>
        <w:rPr>
          <w:bCs/>
        </w:rPr>
      </w:pPr>
      <w:bookmarkStart w:id="7" w:name="_Toc68630588"/>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Pr>
          <w:noProof/>
          <w:szCs w:val="22"/>
        </w:rPr>
        <w:t>3</w:t>
      </w:r>
      <w:r w:rsidRPr="00B066E0">
        <w:rPr>
          <w:szCs w:val="22"/>
        </w:rPr>
        <w:fldChar w:fldCharType="end"/>
      </w:r>
      <w:r w:rsidRPr="00B066E0">
        <w:rPr>
          <w:szCs w:val="22"/>
        </w:rPr>
        <w:t xml:space="preserve">. </w:t>
      </w:r>
      <w:r w:rsidRPr="00CF1B6F">
        <w:rPr>
          <w:bCs/>
        </w:rPr>
        <w:t xml:space="preserve">For the time-domain resource allocation of </w:t>
      </w:r>
      <w:proofErr w:type="spellStart"/>
      <w:r w:rsidRPr="00CF1B6F">
        <w:rPr>
          <w:bCs/>
        </w:rPr>
        <w:t>TBoMS</w:t>
      </w:r>
      <w:proofErr w:type="spellEnd"/>
      <w:r w:rsidRPr="00CF1B6F">
        <w:rPr>
          <w:bCs/>
        </w:rPr>
        <w:t xml:space="preserve">, non-consecutive physical slots for UL transmission are also supported for paired spectrum, unpaired </w:t>
      </w:r>
      <w:proofErr w:type="gramStart"/>
      <w:r w:rsidRPr="00CF1B6F">
        <w:rPr>
          <w:bCs/>
        </w:rPr>
        <w:t>spectrum</w:t>
      </w:r>
      <w:proofErr w:type="gramEnd"/>
      <w:r w:rsidRPr="00CF1B6F">
        <w:rPr>
          <w:bCs/>
        </w:rPr>
        <w:t xml:space="preserve"> and the SUL band.</w:t>
      </w:r>
      <w:bookmarkEnd w:id="7"/>
    </w:p>
    <w:p w14:paraId="380E7F85" w14:textId="12526A09" w:rsidR="00945AF9" w:rsidRPr="00945AF9" w:rsidRDefault="00945AF9" w:rsidP="00945AF9">
      <w:pPr>
        <w:jc w:val="both"/>
        <w:rPr>
          <w:b/>
          <w:bCs/>
        </w:rPr>
      </w:pPr>
      <w:bookmarkStart w:id="8" w:name="_Toc68630589"/>
      <w:r w:rsidRPr="00945AF9">
        <w:rPr>
          <w:b/>
          <w:bCs/>
          <w:szCs w:val="22"/>
        </w:rPr>
        <w:t xml:space="preserve">Proposal </w:t>
      </w:r>
      <w:r w:rsidRPr="00945AF9">
        <w:rPr>
          <w:b/>
          <w:bCs/>
          <w:szCs w:val="22"/>
        </w:rPr>
        <w:fldChar w:fldCharType="begin"/>
      </w:r>
      <w:r w:rsidRPr="00945AF9">
        <w:rPr>
          <w:b/>
          <w:bCs/>
          <w:szCs w:val="22"/>
        </w:rPr>
        <w:instrText xml:space="preserve"> SEQ Proposal \* ARABIC </w:instrText>
      </w:r>
      <w:r w:rsidRPr="00945AF9">
        <w:rPr>
          <w:b/>
          <w:bCs/>
          <w:szCs w:val="22"/>
        </w:rPr>
        <w:fldChar w:fldCharType="separate"/>
      </w:r>
      <w:r w:rsidRPr="00945AF9">
        <w:rPr>
          <w:b/>
          <w:bCs/>
          <w:noProof/>
          <w:szCs w:val="22"/>
        </w:rPr>
        <w:t>4</w:t>
      </w:r>
      <w:r w:rsidRPr="00945AF9">
        <w:rPr>
          <w:b/>
          <w:bCs/>
          <w:szCs w:val="22"/>
        </w:rPr>
        <w:fldChar w:fldCharType="end"/>
      </w:r>
      <w:r w:rsidRPr="00945AF9">
        <w:rPr>
          <w:b/>
          <w:bCs/>
          <w:szCs w:val="22"/>
        </w:rPr>
        <w:t xml:space="preserve">. </w:t>
      </w:r>
      <w:r w:rsidRPr="00945AF9">
        <w:rPr>
          <w:b/>
          <w:bCs/>
        </w:rPr>
        <w:t xml:space="preserve">For the time-domain resource allocation of </w:t>
      </w:r>
      <w:proofErr w:type="spellStart"/>
      <w:r w:rsidRPr="00945AF9">
        <w:rPr>
          <w:b/>
          <w:bCs/>
        </w:rPr>
        <w:t>TBoMS</w:t>
      </w:r>
      <w:proofErr w:type="spellEnd"/>
      <w:r w:rsidRPr="00945AF9">
        <w:rPr>
          <w:b/>
          <w:bCs/>
        </w:rPr>
        <w:t xml:space="preserve">, if non-consecutive physical slots for UL transmission are not supported for paired spectrum, unpaired </w:t>
      </w:r>
      <w:proofErr w:type="gramStart"/>
      <w:r w:rsidRPr="00945AF9">
        <w:rPr>
          <w:b/>
          <w:bCs/>
        </w:rPr>
        <w:t>spectrum</w:t>
      </w:r>
      <w:proofErr w:type="gramEnd"/>
      <w:r w:rsidRPr="00945AF9">
        <w:rPr>
          <w:b/>
          <w:bCs/>
        </w:rPr>
        <w:t xml:space="preserve"> and the SUL band, then PUSCH repetition type B like TDRA must be supported</w:t>
      </w:r>
      <w:r>
        <w:rPr>
          <w:b/>
          <w:bCs/>
        </w:rPr>
        <w:t xml:space="preserve"> for time domain resource determination</w:t>
      </w:r>
      <w:r w:rsidRPr="00945AF9">
        <w:rPr>
          <w:b/>
          <w:bCs/>
        </w:rPr>
        <w:t>.</w:t>
      </w:r>
      <w:bookmarkEnd w:id="8"/>
    </w:p>
    <w:p w14:paraId="464AABE9" w14:textId="77777777" w:rsidR="00E21C34" w:rsidRPr="004B6CCC" w:rsidRDefault="00E21C34" w:rsidP="00CF1B6F">
      <w:pPr>
        <w:spacing w:after="120" w:line="276" w:lineRule="auto"/>
        <w:jc w:val="both"/>
        <w:rPr>
          <w:b/>
          <w:bCs/>
        </w:rPr>
      </w:pPr>
    </w:p>
    <w:p w14:paraId="1F2C4E70" w14:textId="411CAEB2" w:rsidR="005665EE" w:rsidRPr="004B6CCC" w:rsidRDefault="005665EE" w:rsidP="00CF1B6F">
      <w:pPr>
        <w:pStyle w:val="Heading2"/>
        <w:spacing w:before="0" w:after="120" w:line="276" w:lineRule="auto"/>
        <w:contextualSpacing/>
        <w:jc w:val="both"/>
        <w:rPr>
          <w:lang w:val="en-US"/>
        </w:rPr>
      </w:pPr>
      <w:r w:rsidRPr="004B6CCC">
        <w:rPr>
          <w:lang w:val="en-US"/>
        </w:rPr>
        <w:t>TBS determination</w:t>
      </w:r>
    </w:p>
    <w:p w14:paraId="1227664A" w14:textId="14E73E71" w:rsidR="005665EE" w:rsidRPr="004B6CCC" w:rsidRDefault="00FF151B" w:rsidP="00CF1B6F">
      <w:pPr>
        <w:pStyle w:val="Heading3"/>
        <w:spacing w:before="0" w:after="120" w:line="276" w:lineRule="auto"/>
        <w:contextualSpacing/>
        <w:jc w:val="both"/>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vertAlign w:val="subscript"/>
                <w:lang w:val="en-US"/>
              </w:rPr>
              <m:t>info</m:t>
            </m:r>
          </m:sub>
        </m:sSub>
      </m:oMath>
      <w:r w:rsidR="003D51C7" w:rsidRPr="004B6CCC">
        <w:rPr>
          <w:vertAlign w:val="subscript"/>
          <w:lang w:val="en-US"/>
        </w:rPr>
        <w:t xml:space="preserve"> </w:t>
      </w:r>
      <w:r w:rsidR="003D51C7" w:rsidRPr="004B6CCC">
        <w:rPr>
          <w:lang w:val="en-US"/>
        </w:rPr>
        <w:t>calculation</w:t>
      </w:r>
    </w:p>
    <w:p w14:paraId="402AB2E9" w14:textId="77777777" w:rsidR="00087439" w:rsidRPr="004B6CCC" w:rsidRDefault="00087439" w:rsidP="00CF1B6F">
      <w:pPr>
        <w:spacing w:after="0" w:line="276" w:lineRule="auto"/>
        <w:contextualSpacing/>
        <w:jc w:val="both"/>
      </w:pPr>
      <w:r w:rsidRPr="004B6CCC">
        <w:t>The following agreements were made in RAN1#104-e:</w:t>
      </w:r>
    </w:p>
    <w:tbl>
      <w:tblPr>
        <w:tblStyle w:val="TableGrid"/>
        <w:tblW w:w="0" w:type="auto"/>
        <w:tblLook w:val="04A0" w:firstRow="1" w:lastRow="0" w:firstColumn="1" w:lastColumn="0" w:noHBand="0" w:noVBand="1"/>
      </w:tblPr>
      <w:tblGrid>
        <w:gridCol w:w="9629"/>
      </w:tblGrid>
      <w:tr w:rsidR="00087439" w:rsidRPr="004B6CCC" w14:paraId="296418D8" w14:textId="77777777" w:rsidTr="00087439">
        <w:tc>
          <w:tcPr>
            <w:tcW w:w="9629" w:type="dxa"/>
          </w:tcPr>
          <w:p w14:paraId="645A19E3" w14:textId="77777777" w:rsidR="00A01247" w:rsidRPr="00A01247" w:rsidRDefault="00A01247" w:rsidP="00CF1B6F">
            <w:pPr>
              <w:spacing w:after="0" w:line="276" w:lineRule="auto"/>
              <w:contextualSpacing/>
              <w:jc w:val="both"/>
            </w:pPr>
            <w:r w:rsidRPr="00A01247">
              <w:rPr>
                <w:highlight w:val="green"/>
              </w:rPr>
              <w:t>Agreements:</w:t>
            </w:r>
          </w:p>
          <w:p w14:paraId="6F9FFCB9" w14:textId="77777777" w:rsidR="00A01247" w:rsidRPr="00A01247" w:rsidRDefault="00A01247" w:rsidP="00CF1B6F">
            <w:pPr>
              <w:spacing w:after="0" w:line="276" w:lineRule="auto"/>
              <w:contextualSpacing/>
              <w:jc w:val="both"/>
            </w:pPr>
            <w:r w:rsidRPr="00A01247">
              <w:t xml:space="preserve">One or two of the following approaches will be considered as a starting point to decide how </w:t>
            </w:r>
            <w:proofErr w:type="spellStart"/>
            <w:r w:rsidRPr="00A01247">
              <w:rPr>
                <w:i/>
                <w:iCs/>
              </w:rPr>
              <w:t>N</w:t>
            </w:r>
            <w:r w:rsidRPr="00A01247">
              <w:rPr>
                <w:vertAlign w:val="subscript"/>
              </w:rPr>
              <w:t>Info</w:t>
            </w:r>
            <w:proofErr w:type="spellEnd"/>
            <w:r w:rsidRPr="00A01247">
              <w:t xml:space="preserve"> for </w:t>
            </w:r>
            <w:proofErr w:type="spellStart"/>
            <w:r w:rsidRPr="00A01247">
              <w:t>TBoMS</w:t>
            </w:r>
            <w:proofErr w:type="spellEnd"/>
            <w:r w:rsidRPr="00A01247">
              <w:t xml:space="preserve"> is calculated (aiming for down selection in RAN1 #104-bis-e):</w:t>
            </w:r>
          </w:p>
          <w:p w14:paraId="67AF40C3" w14:textId="77777777" w:rsidR="00A01247" w:rsidRPr="004B6CCC" w:rsidRDefault="00A01247" w:rsidP="002B2E66">
            <w:pPr>
              <w:pStyle w:val="ListParagraph"/>
              <w:numPr>
                <w:ilvl w:val="0"/>
                <w:numId w:val="38"/>
              </w:numPr>
            </w:pPr>
            <w:proofErr w:type="spellStart"/>
            <w:r w:rsidRPr="004B6CCC">
              <w:rPr>
                <w:b/>
                <w:bCs/>
              </w:rPr>
              <w:t>Approach</w:t>
            </w:r>
            <w:proofErr w:type="spellEnd"/>
            <w:r w:rsidRPr="004B6CCC">
              <w:rPr>
                <w:b/>
                <w:bCs/>
              </w:rPr>
              <w:t xml:space="preserve"> 1</w:t>
            </w:r>
            <w:r w:rsidRPr="004B6CCC">
              <w:t xml:space="preserve">: </w:t>
            </w:r>
            <w:proofErr w:type="spellStart"/>
            <w:r w:rsidRPr="004B6CCC">
              <w:t>Based</w:t>
            </w:r>
            <w:proofErr w:type="spellEnd"/>
            <w:r w:rsidRPr="004B6CCC">
              <w:t xml:space="preserve"> on </w:t>
            </w:r>
            <w:proofErr w:type="spellStart"/>
            <w:r w:rsidRPr="004B6CCC">
              <w:t>all</w:t>
            </w:r>
            <w:proofErr w:type="spellEnd"/>
            <w:r w:rsidRPr="004B6CCC">
              <w:t xml:space="preserve"> </w:t>
            </w:r>
            <w:proofErr w:type="spellStart"/>
            <w:r w:rsidRPr="004B6CCC">
              <w:t>REs</w:t>
            </w:r>
            <w:proofErr w:type="spellEnd"/>
            <w:r w:rsidRPr="004B6CCC">
              <w:t xml:space="preserve"> </w:t>
            </w:r>
            <w:proofErr w:type="spellStart"/>
            <w:r w:rsidRPr="004B6CCC">
              <w:t>determined</w:t>
            </w:r>
            <w:proofErr w:type="spellEnd"/>
            <w:r w:rsidRPr="004B6CCC">
              <w:t xml:space="preserve"> </w:t>
            </w:r>
            <w:proofErr w:type="spellStart"/>
            <w:r w:rsidRPr="004B6CCC">
              <w:t>across</w:t>
            </w:r>
            <w:proofErr w:type="spellEnd"/>
            <w:r w:rsidRPr="004B6CCC">
              <w:t xml:space="preserve"> </w:t>
            </w:r>
            <w:proofErr w:type="spellStart"/>
            <w:r w:rsidRPr="004B6CCC">
              <w:t>the</w:t>
            </w:r>
            <w:proofErr w:type="spellEnd"/>
            <w:r w:rsidRPr="004B6CCC">
              <w:t xml:space="preserve"> </w:t>
            </w:r>
            <w:proofErr w:type="spellStart"/>
            <w:r w:rsidRPr="004B6CCC">
              <w:t>symbols</w:t>
            </w:r>
            <w:proofErr w:type="spellEnd"/>
            <w:r w:rsidRPr="004B6CCC">
              <w:t xml:space="preserve"> </w:t>
            </w:r>
            <w:proofErr w:type="spellStart"/>
            <w:r w:rsidRPr="004B6CCC">
              <w:t>or</w:t>
            </w:r>
            <w:proofErr w:type="spellEnd"/>
            <w:r w:rsidRPr="004B6CCC">
              <w:t xml:space="preserve"> </w:t>
            </w:r>
            <w:proofErr w:type="spellStart"/>
            <w:r w:rsidRPr="004B6CCC">
              <w:t>slots</w:t>
            </w:r>
            <w:proofErr w:type="spellEnd"/>
            <w:r w:rsidRPr="004B6CCC">
              <w:t xml:space="preserve"> (FFS </w:t>
            </w:r>
            <w:proofErr w:type="spellStart"/>
            <w:r w:rsidRPr="004B6CCC">
              <w:t>whether</w:t>
            </w:r>
            <w:proofErr w:type="spellEnd"/>
            <w:r w:rsidRPr="004B6CCC">
              <w:t xml:space="preserve"> </w:t>
            </w:r>
            <w:proofErr w:type="spellStart"/>
            <w:r w:rsidRPr="004B6CCC">
              <w:t>symbols</w:t>
            </w:r>
            <w:proofErr w:type="spellEnd"/>
            <w:r w:rsidRPr="004B6CCC">
              <w:t xml:space="preserve"> </w:t>
            </w:r>
            <w:proofErr w:type="spellStart"/>
            <w:r w:rsidRPr="004B6CCC">
              <w:t>or</w:t>
            </w:r>
            <w:proofErr w:type="spellEnd"/>
            <w:r w:rsidRPr="004B6CCC">
              <w:t xml:space="preserve"> </w:t>
            </w:r>
            <w:proofErr w:type="spellStart"/>
            <w:r w:rsidRPr="004B6CCC">
              <w:t>slots</w:t>
            </w:r>
            <w:proofErr w:type="spellEnd"/>
            <w:r w:rsidRPr="004B6CCC">
              <w:t xml:space="preserve"> </w:t>
            </w:r>
            <w:proofErr w:type="spellStart"/>
            <w:r w:rsidRPr="004B6CCC">
              <w:t>are</w:t>
            </w:r>
            <w:proofErr w:type="spellEnd"/>
            <w:r w:rsidRPr="004B6CCC">
              <w:t xml:space="preserve"> </w:t>
            </w:r>
            <w:proofErr w:type="spellStart"/>
            <w:r w:rsidRPr="004B6CCC">
              <w:t>used</w:t>
            </w:r>
            <w:proofErr w:type="spellEnd"/>
            <w:r w:rsidRPr="004B6CCC">
              <w:t xml:space="preserve">) </w:t>
            </w:r>
            <w:proofErr w:type="spellStart"/>
            <w:r w:rsidRPr="004B6CCC">
              <w:t>over</w:t>
            </w:r>
            <w:proofErr w:type="spellEnd"/>
            <w:r w:rsidRPr="004B6CCC">
              <w:t xml:space="preserve"> </w:t>
            </w:r>
            <w:proofErr w:type="spellStart"/>
            <w:r w:rsidRPr="004B6CCC">
              <w:t>which</w:t>
            </w:r>
            <w:proofErr w:type="spellEnd"/>
            <w:r w:rsidRPr="004B6CCC">
              <w:t xml:space="preserve"> </w:t>
            </w:r>
            <w:proofErr w:type="spellStart"/>
            <w:r w:rsidRPr="004B6CCC">
              <w:t>the</w:t>
            </w:r>
            <w:proofErr w:type="spellEnd"/>
            <w:r w:rsidRPr="004B6CCC">
              <w:t xml:space="preserve"> </w:t>
            </w:r>
            <w:proofErr w:type="spellStart"/>
            <w:r w:rsidRPr="004B6CCC">
              <w:t>TBoMS</w:t>
            </w:r>
            <w:proofErr w:type="spellEnd"/>
            <w:r w:rsidRPr="004B6CCC">
              <w:t xml:space="preserve"> transmission is </w:t>
            </w:r>
            <w:proofErr w:type="spellStart"/>
            <w:r w:rsidRPr="004B6CCC">
              <w:t>allocated</w:t>
            </w:r>
            <w:proofErr w:type="spellEnd"/>
          </w:p>
          <w:p w14:paraId="495466E9" w14:textId="77777777" w:rsidR="00A01247" w:rsidRPr="004B6CCC" w:rsidRDefault="00A01247" w:rsidP="002B2E66">
            <w:pPr>
              <w:pStyle w:val="ListParagraph"/>
              <w:numPr>
                <w:ilvl w:val="0"/>
                <w:numId w:val="38"/>
              </w:numPr>
            </w:pPr>
            <w:proofErr w:type="spellStart"/>
            <w:r w:rsidRPr="004B6CCC">
              <w:rPr>
                <w:b/>
                <w:bCs/>
              </w:rPr>
              <w:lastRenderedPageBreak/>
              <w:t>Approach</w:t>
            </w:r>
            <w:proofErr w:type="spellEnd"/>
            <w:r w:rsidRPr="004B6CCC">
              <w:rPr>
                <w:b/>
                <w:bCs/>
              </w:rPr>
              <w:t xml:space="preserve"> 2</w:t>
            </w:r>
            <w:r w:rsidRPr="004B6CCC">
              <w:t xml:space="preserve">: </w:t>
            </w:r>
            <w:proofErr w:type="spellStart"/>
            <w:r w:rsidRPr="004B6CCC">
              <w:t>Based</w:t>
            </w:r>
            <w:proofErr w:type="spellEnd"/>
            <w:r w:rsidRPr="004B6CCC">
              <w:t xml:space="preserve"> on </w:t>
            </w:r>
            <w:proofErr w:type="spellStart"/>
            <w:r w:rsidRPr="004B6CCC">
              <w:t>the</w:t>
            </w:r>
            <w:proofErr w:type="spellEnd"/>
            <w:r w:rsidRPr="004B6CCC">
              <w:t xml:space="preserve"> </w:t>
            </w:r>
            <w:proofErr w:type="spellStart"/>
            <w:r w:rsidRPr="004B6CCC">
              <w:t>number</w:t>
            </w:r>
            <w:proofErr w:type="spellEnd"/>
            <w:r w:rsidRPr="004B6CCC">
              <w:t xml:space="preserve"> of </w:t>
            </w:r>
            <w:proofErr w:type="spellStart"/>
            <w:r w:rsidRPr="004B6CCC">
              <w:t>REs</w:t>
            </w:r>
            <w:proofErr w:type="spellEnd"/>
            <w:r w:rsidRPr="004B6CCC">
              <w:t xml:space="preserve"> </w:t>
            </w:r>
            <w:proofErr w:type="spellStart"/>
            <w:r w:rsidRPr="004B6CCC">
              <w:t>determined</w:t>
            </w:r>
            <w:proofErr w:type="spellEnd"/>
            <w:r w:rsidRPr="004B6CCC">
              <w:t xml:space="preserve"> in </w:t>
            </w:r>
            <w:proofErr w:type="spellStart"/>
            <w:r w:rsidRPr="004B6CCC">
              <w:t>the</w:t>
            </w:r>
            <w:proofErr w:type="spellEnd"/>
            <w:r w:rsidRPr="004B6CCC">
              <w:t xml:space="preserve"> </w:t>
            </w:r>
            <w:proofErr w:type="spellStart"/>
            <w:r w:rsidRPr="004B6CCC">
              <w:t>first</w:t>
            </w:r>
            <w:proofErr w:type="spellEnd"/>
            <w:r w:rsidRPr="004B6CCC">
              <w:t xml:space="preserve"> L </w:t>
            </w:r>
            <w:proofErr w:type="spellStart"/>
            <w:r w:rsidRPr="004B6CCC">
              <w:t>symbols</w:t>
            </w:r>
            <w:proofErr w:type="spellEnd"/>
            <w:r w:rsidRPr="004B6CCC">
              <w:t xml:space="preserve"> </w:t>
            </w:r>
            <w:proofErr w:type="spellStart"/>
            <w:r w:rsidRPr="004B6CCC">
              <w:t>over</w:t>
            </w:r>
            <w:proofErr w:type="spellEnd"/>
            <w:r w:rsidRPr="004B6CCC">
              <w:t xml:space="preserve"> </w:t>
            </w:r>
            <w:proofErr w:type="spellStart"/>
            <w:r w:rsidRPr="004B6CCC">
              <w:t>which</w:t>
            </w:r>
            <w:proofErr w:type="spellEnd"/>
            <w:r w:rsidRPr="004B6CCC">
              <w:t xml:space="preserve"> </w:t>
            </w:r>
            <w:proofErr w:type="spellStart"/>
            <w:r w:rsidRPr="004B6CCC">
              <w:t>the</w:t>
            </w:r>
            <w:proofErr w:type="spellEnd"/>
            <w:r w:rsidRPr="004B6CCC">
              <w:t xml:space="preserve"> </w:t>
            </w:r>
            <w:proofErr w:type="spellStart"/>
            <w:r w:rsidRPr="004B6CCC">
              <w:t>TBoMS</w:t>
            </w:r>
            <w:proofErr w:type="spellEnd"/>
            <w:r w:rsidRPr="004B6CCC">
              <w:t xml:space="preserve"> transmission is </w:t>
            </w:r>
            <w:proofErr w:type="spellStart"/>
            <w:r w:rsidRPr="004B6CCC">
              <w:t>allocated</w:t>
            </w:r>
            <w:proofErr w:type="spellEnd"/>
            <w:r w:rsidRPr="004B6CCC">
              <w:t xml:space="preserve">, </w:t>
            </w:r>
            <w:proofErr w:type="spellStart"/>
            <w:r w:rsidRPr="004B6CCC">
              <w:t>scaled</w:t>
            </w:r>
            <w:proofErr w:type="spellEnd"/>
            <w:r w:rsidRPr="004B6CCC">
              <w:t xml:space="preserve"> </w:t>
            </w:r>
            <w:proofErr w:type="spellStart"/>
            <w:r w:rsidRPr="004B6CCC">
              <w:t>by</w:t>
            </w:r>
            <w:proofErr w:type="spellEnd"/>
            <w:r w:rsidRPr="004B6CCC">
              <w:t xml:space="preserve"> K≥1.</w:t>
            </w:r>
          </w:p>
          <w:p w14:paraId="45FCCBF7" w14:textId="77777777" w:rsidR="00A01247" w:rsidRPr="004B6CCC" w:rsidRDefault="00A01247" w:rsidP="002B2E66">
            <w:pPr>
              <w:pStyle w:val="ListParagraph"/>
              <w:numPr>
                <w:ilvl w:val="1"/>
                <w:numId w:val="38"/>
              </w:numPr>
            </w:pPr>
            <w:r w:rsidRPr="004B6CCC">
              <w:t xml:space="preserve">FFS: </w:t>
            </w:r>
            <w:proofErr w:type="spellStart"/>
            <w:r w:rsidRPr="004B6CCC">
              <w:t>the</w:t>
            </w:r>
            <w:proofErr w:type="spellEnd"/>
            <w:r w:rsidRPr="004B6CCC">
              <w:t xml:space="preserve"> definition of K</w:t>
            </w:r>
          </w:p>
          <w:p w14:paraId="0E299BF9" w14:textId="77777777" w:rsidR="00A01247" w:rsidRPr="00A01247" w:rsidRDefault="00A01247" w:rsidP="00CF1B6F">
            <w:pPr>
              <w:spacing w:after="0" w:line="276" w:lineRule="auto"/>
              <w:contextualSpacing/>
              <w:jc w:val="both"/>
            </w:pPr>
            <w:r w:rsidRPr="00A01247">
              <w:t>Note: L is the number of symbols determined using the SLIV of PUSCH indicated via TDRA</w:t>
            </w:r>
          </w:p>
          <w:p w14:paraId="6D515FBE" w14:textId="77777777" w:rsidR="00A01247" w:rsidRPr="00A01247" w:rsidRDefault="00A01247" w:rsidP="00CF1B6F">
            <w:pPr>
              <w:spacing w:after="0" w:line="276" w:lineRule="auto"/>
              <w:contextualSpacing/>
              <w:jc w:val="both"/>
            </w:pPr>
            <w:r w:rsidRPr="00A01247">
              <w:t xml:space="preserve">FFS: impacts and further details if repetitions of </w:t>
            </w:r>
            <w:proofErr w:type="spellStart"/>
            <w:r w:rsidRPr="00A01247">
              <w:t>TBoMS</w:t>
            </w:r>
            <w:proofErr w:type="spellEnd"/>
            <w:r w:rsidRPr="00A01247">
              <w:t xml:space="preserve"> is supported.</w:t>
            </w:r>
          </w:p>
          <w:p w14:paraId="74BA47DE" w14:textId="65260CFB" w:rsidR="00087439" w:rsidRPr="004B6CCC" w:rsidRDefault="00A01247" w:rsidP="00CF1B6F">
            <w:pPr>
              <w:spacing w:after="0" w:line="276" w:lineRule="auto"/>
              <w:contextualSpacing/>
              <w:jc w:val="both"/>
            </w:pPr>
            <w:r w:rsidRPr="00A01247">
              <w:t xml:space="preserve">FFS: whether the symbols over which the </w:t>
            </w:r>
            <w:proofErr w:type="spellStart"/>
            <w:r w:rsidRPr="00A01247">
              <w:t>TBoMS</w:t>
            </w:r>
            <w:proofErr w:type="spellEnd"/>
            <w:r w:rsidRPr="00A01247">
              <w:t xml:space="preserve"> transmission is allocated are the same or can be different from the symbols over which the </w:t>
            </w:r>
            <w:proofErr w:type="spellStart"/>
            <w:r w:rsidRPr="00A01247">
              <w:t>TBoMS</w:t>
            </w:r>
            <w:proofErr w:type="spellEnd"/>
            <w:r w:rsidRPr="00A01247">
              <w:t xml:space="preserve"> transmission is performed, and details on how to handle such scenarios.</w:t>
            </w:r>
          </w:p>
        </w:tc>
      </w:tr>
    </w:tbl>
    <w:p w14:paraId="44911AA1" w14:textId="77777777" w:rsidR="00737B2F" w:rsidRPr="004B6CCC" w:rsidRDefault="00737B2F" w:rsidP="00CF1B6F">
      <w:pPr>
        <w:spacing w:after="0" w:line="276" w:lineRule="auto"/>
        <w:jc w:val="both"/>
      </w:pPr>
    </w:p>
    <w:p w14:paraId="53D0F8DC" w14:textId="79593F28" w:rsidR="002A711C" w:rsidRPr="004B6CCC" w:rsidRDefault="005A5931" w:rsidP="00CF1B6F">
      <w:pPr>
        <w:spacing w:line="276" w:lineRule="auto"/>
        <w:jc w:val="both"/>
      </w:pPr>
      <w:r w:rsidRPr="004B6CCC">
        <w:t>First of all, it can be observed that a</w:t>
      </w:r>
      <w:r w:rsidR="00737B2F" w:rsidRPr="004B6CCC">
        <w:t xml:space="preserve">ny of the two approaches above should work for both TDRA Options 1 and 2 in Section </w:t>
      </w:r>
      <w:r w:rsidR="00737B2F" w:rsidRPr="004B6CCC">
        <w:fldChar w:fldCharType="begin"/>
      </w:r>
      <w:r w:rsidR="00737B2F" w:rsidRPr="004B6CCC">
        <w:instrText xml:space="preserve"> REF _Ref68035203 \n \h  \* MERGEFORMAT </w:instrText>
      </w:r>
      <w:r w:rsidR="00737B2F" w:rsidRPr="004B6CCC">
        <w:fldChar w:fldCharType="separate"/>
      </w:r>
      <w:r w:rsidR="00340A9C" w:rsidRPr="004B6CCC">
        <w:t>2.1.1</w:t>
      </w:r>
      <w:r w:rsidR="00737B2F" w:rsidRPr="004B6CCC">
        <w:fldChar w:fldCharType="end"/>
      </w:r>
      <w:r w:rsidR="00737B2F" w:rsidRPr="004B6CCC">
        <w:t xml:space="preserve">. The main difference between the two approaches is that Approach 2 allows the number of REs that are used for TBS determination (denoted by </w:t>
      </w:r>
      <w:r w:rsidR="00737B2F" w:rsidRPr="004B6CCC">
        <w:softHyphen/>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TBS</m:t>
            </m:r>
          </m:sup>
        </m:sSubSup>
      </m:oMath>
      <w:r w:rsidR="00737B2F" w:rsidRPr="004B6CCC">
        <w:t xml:space="preserve">) to be smaller than the number of REs that are actually used for transmitting the TB (denoted by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Tx</m:t>
            </m:r>
          </m:sup>
        </m:sSubSup>
      </m:oMath>
      <w:r w:rsidR="00737B2F" w:rsidRPr="004B6CCC">
        <w:t>).</w:t>
      </w:r>
      <w:r w:rsidR="008429CB" w:rsidRPr="004B6CCC">
        <w:t xml:space="preserve"> </w:t>
      </w:r>
    </w:p>
    <w:p w14:paraId="2C65905B" w14:textId="0EF18974" w:rsidR="002D0C0E" w:rsidRPr="004B6CCC" w:rsidRDefault="00FF2275" w:rsidP="00CF1B6F">
      <w:pPr>
        <w:spacing w:after="0" w:line="276" w:lineRule="auto"/>
        <w:jc w:val="both"/>
      </w:pPr>
      <w:r>
        <w:t>In this context</w:t>
      </w:r>
      <w:r w:rsidR="002A711C" w:rsidRPr="004B6CCC">
        <w:t>, t</w:t>
      </w:r>
      <w:r w:rsidR="008429CB" w:rsidRPr="004B6CCC">
        <w:t xml:space="preserve">he only benefit of </w:t>
      </w:r>
      <w:r w:rsidR="002A711C" w:rsidRPr="004B6CCC">
        <w:t>us</w:t>
      </w:r>
      <w:r w:rsidR="008429CB" w:rsidRPr="004B6CCC">
        <w:t xml:space="preserve">ing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TBS</m:t>
            </m:r>
          </m:sup>
        </m:sSubSup>
        <m:r>
          <w:rPr>
            <w:rFonts w:ascii="Cambria Math" w:hAnsi="Cambria Math"/>
          </w:rPr>
          <m:t>&lt;</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Tx</m:t>
            </m:r>
          </m:sup>
        </m:sSubSup>
      </m:oMath>
      <w:r w:rsidR="008429CB" w:rsidRPr="004B6CCC">
        <w:t xml:space="preserve"> is to achieve a lower effective coding rate (denoted by </w:t>
      </w:r>
      <m:oMath>
        <m:sSub>
          <m:sSubPr>
            <m:ctrlPr>
              <w:rPr>
                <w:rFonts w:ascii="Cambria Math" w:hAnsi="Cambria Math"/>
                <w:i/>
              </w:rPr>
            </m:ctrlPr>
          </m:sSubPr>
          <m:e>
            <m:r>
              <w:rPr>
                <w:rFonts w:ascii="Cambria Math" w:hAnsi="Cambria Math"/>
              </w:rPr>
              <m:t>R</m:t>
            </m:r>
          </m:e>
          <m:sub>
            <m:r>
              <w:rPr>
                <w:rFonts w:ascii="Cambria Math" w:hAnsi="Cambria Math"/>
              </w:rPr>
              <m:t>E</m:t>
            </m:r>
          </m:sub>
        </m:sSub>
      </m:oMath>
      <w:r w:rsidR="008429CB" w:rsidRPr="004B6CCC">
        <w:t xml:space="preserve">) than the target coding rate indicated by MCS (denoted by </w:t>
      </w:r>
      <m:oMath>
        <m:sSub>
          <m:sSubPr>
            <m:ctrlPr>
              <w:rPr>
                <w:rFonts w:ascii="Cambria Math" w:hAnsi="Cambria Math"/>
                <w:i/>
              </w:rPr>
            </m:ctrlPr>
          </m:sSubPr>
          <m:e>
            <m:r>
              <w:rPr>
                <w:rFonts w:ascii="Cambria Math" w:hAnsi="Cambria Math"/>
              </w:rPr>
              <m:t>R</m:t>
            </m:r>
          </m:e>
          <m:sub>
            <m:r>
              <w:rPr>
                <w:rFonts w:ascii="Cambria Math" w:hAnsi="Cambria Math"/>
              </w:rPr>
              <m:t>T</m:t>
            </m:r>
          </m:sub>
        </m:sSub>
      </m:oMath>
      <w:r w:rsidR="008429CB" w:rsidRPr="004B6CCC">
        <w:t xml:space="preserve">). Indeed, let us denote by </w:t>
      </w:r>
      <m:oMath>
        <m:r>
          <w:rPr>
            <w:rFonts w:ascii="Cambria Math" w:hAnsi="Cambria Math"/>
          </w:rPr>
          <m:t>G</m:t>
        </m:r>
      </m:oMath>
      <w:r w:rsidR="008429CB" w:rsidRPr="004B6CCC">
        <w:t xml:space="preserve"> the number of encoded bits that a PUSCH resource can convey, </w:t>
      </w:r>
      <w:r w:rsidR="00222A8E">
        <w:t>which</w:t>
      </w:r>
      <w:r w:rsidR="00222A8E" w:rsidRPr="004B6CCC">
        <w:t xml:space="preserve"> </w:t>
      </w:r>
      <w:r w:rsidR="008429CB" w:rsidRPr="004B6CCC">
        <w:t xml:space="preserve">is also the number of encoded bits that can be </w:t>
      </w:r>
      <w:r w:rsidR="000D5767">
        <w:t xml:space="preserve">extracted from </w:t>
      </w:r>
      <w:r w:rsidR="008429CB" w:rsidRPr="004B6CCC">
        <w:t xml:space="preserve">the circular buffer. Then the effective coding rate can be calculated </w:t>
      </w:r>
      <w:r w:rsidR="000D5767">
        <w:t>as</w:t>
      </w:r>
      <w:r w:rsidR="008429CB" w:rsidRPr="004B6CCC">
        <w:t xml:space="preserve"> </w:t>
      </w:r>
      <m:oMath>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m:t>
        </m:r>
        <m:f>
          <m:fPr>
            <m:ctrlPr>
              <w:rPr>
                <w:rFonts w:ascii="Cambria Math" w:hAnsi="Cambria Math"/>
                <w:i/>
              </w:rPr>
            </m:ctrlPr>
          </m:fPr>
          <m:num>
            <m:r>
              <w:rPr>
                <w:rFonts w:ascii="Cambria Math" w:hAnsi="Cambria Math"/>
              </w:rPr>
              <m:t>TBS+CRC</m:t>
            </m:r>
          </m:num>
          <m:den>
            <m:r>
              <w:rPr>
                <w:rFonts w:ascii="Cambria Math" w:hAnsi="Cambria Math"/>
              </w:rPr>
              <m:t>G</m:t>
            </m:r>
          </m:den>
        </m:f>
        <m:r>
          <w:rPr>
            <w:rFonts w:ascii="Cambria Math" w:hAnsi="Cambria Math"/>
          </w:rPr>
          <m:t>,</m:t>
        </m:r>
      </m:oMath>
      <w:r w:rsidR="002D0C0E" w:rsidRPr="004B6CCC">
        <w:t xml:space="preserve"> </w:t>
      </w:r>
      <w:r w:rsidR="008429CB" w:rsidRPr="004B6CCC">
        <w:t xml:space="preserve">where </w:t>
      </w:r>
      <m:oMath>
        <m:r>
          <w:rPr>
            <w:rFonts w:ascii="Cambria Math" w:hAnsi="Cambria Math"/>
          </w:rPr>
          <m:t>TBS ≈</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TBS</m:t>
            </m:r>
          </m:sup>
        </m:sSubSup>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T</m:t>
            </m:r>
          </m:sub>
        </m:sSub>
        <m:r>
          <w:rPr>
            <w:rFonts w:ascii="Cambria Math" w:hAnsi="Cambria Math"/>
          </w:rPr>
          <m:t>×μ</m:t>
        </m:r>
      </m:oMath>
      <w:r w:rsidR="00632859" w:rsidRPr="004B6CCC">
        <w:rPr>
          <w:iCs/>
        </w:rPr>
        <w:t xml:space="preserve"> (the approximation is due to the quantization of TBS)</w:t>
      </w:r>
      <w:r w:rsidR="002D0C0E" w:rsidRPr="004B6CCC">
        <w:rPr>
          <w:iCs/>
        </w:rPr>
        <w:t xml:space="preserve">, </w:t>
      </w:r>
      <m:oMath>
        <m:r>
          <m:rPr>
            <m:sty m:val="p"/>
          </m:rPr>
          <w:rPr>
            <w:rFonts w:ascii="Cambria Math" w:hAnsi="Cambria Math"/>
          </w:rPr>
          <m:t>G</m:t>
        </m:r>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Tx</m:t>
            </m:r>
          </m:sup>
        </m:sSubSup>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×μ</m:t>
        </m:r>
      </m:oMath>
      <w:r w:rsidR="002D0C0E" w:rsidRPr="004B6CCC">
        <w:rPr>
          <w:iCs/>
        </w:rPr>
        <w:t xml:space="preserve">. </w:t>
      </w:r>
      <m:oMath>
        <m:sSub>
          <m:sSubPr>
            <m:ctrlPr>
              <w:rPr>
                <w:rFonts w:ascii="Cambria Math" w:hAnsi="Cambria Math"/>
                <w:i/>
                <w:iCs/>
              </w:rPr>
            </m:ctrlPr>
          </m:sSubPr>
          <m:e>
            <m:r>
              <w:rPr>
                <w:rFonts w:ascii="Cambria Math" w:hAnsi="Cambria Math"/>
              </w:rPr>
              <m:t>Q</m:t>
            </m:r>
          </m:e>
          <m:sub>
            <m:r>
              <w:rPr>
                <w:rFonts w:ascii="Cambria Math" w:hAnsi="Cambria Math"/>
              </w:rPr>
              <m:t>m</m:t>
            </m:r>
          </m:sub>
        </m:sSub>
      </m:oMath>
      <w:r w:rsidR="002D0C0E" w:rsidRPr="004B6CCC">
        <w:rPr>
          <w:iCs/>
        </w:rPr>
        <w:t xml:space="preserve">, </w:t>
      </w:r>
      <m:oMath>
        <m:r>
          <w:rPr>
            <w:rFonts w:ascii="Cambria Math" w:hAnsi="Cambria Math"/>
          </w:rPr>
          <m:t>μ</m:t>
        </m:r>
      </m:oMath>
      <w:r w:rsidR="002D0C0E" w:rsidRPr="004B6CCC">
        <w:rPr>
          <w:iCs/>
        </w:rPr>
        <w:t>, and CRC are the modulation order, number of layers, and number of CRC bits, res</w:t>
      </w:r>
      <w:r w:rsidR="000D5767">
        <w:rPr>
          <w:iCs/>
        </w:rPr>
        <w:t>p</w:t>
      </w:r>
      <w:r w:rsidR="002D0C0E" w:rsidRPr="004B6CCC">
        <w:rPr>
          <w:iCs/>
        </w:rPr>
        <w:t xml:space="preserve">ectively. Then it can be deduced that </w:t>
      </w:r>
    </w:p>
    <w:p w14:paraId="662F46C0" w14:textId="41B16B24" w:rsidR="002D0C0E" w:rsidRPr="004B6CCC" w:rsidRDefault="00FF151B" w:rsidP="00CF1B6F">
      <w:pPr>
        <w:spacing w:before="120" w:after="120" w:line="276" w:lineRule="auto"/>
        <w:jc w:val="center"/>
        <w:rPr>
          <w:iCs/>
        </w:rPr>
      </w:pPr>
      <m:oMath>
        <m:sSub>
          <m:sSubPr>
            <m:ctrlPr>
              <w:rPr>
                <w:rFonts w:ascii="Cambria Math" w:hAnsi="Cambria Math"/>
                <w:i/>
                <w:iCs/>
              </w:rPr>
            </m:ctrlPr>
          </m:sSubPr>
          <m:e>
            <m:r>
              <w:rPr>
                <w:rFonts w:ascii="Cambria Math" w:hAnsi="Cambria Math"/>
              </w:rPr>
              <m:t>R</m:t>
            </m:r>
          </m:e>
          <m:sub>
            <m:r>
              <w:rPr>
                <w:rFonts w:ascii="Cambria Math" w:hAnsi="Cambria Math"/>
              </w:rPr>
              <m:t>E</m:t>
            </m:r>
          </m:sub>
        </m:sSub>
        <m: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TBS</m:t>
                </m:r>
              </m:sup>
            </m:sSubSup>
          </m:num>
          <m:den>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Tx</m:t>
                </m:r>
              </m:sup>
            </m:sSubSup>
          </m:den>
        </m:f>
        <m:sSub>
          <m:sSubPr>
            <m:ctrlPr>
              <w:rPr>
                <w:rFonts w:ascii="Cambria Math" w:hAnsi="Cambria Math"/>
                <w:i/>
                <w:iCs/>
              </w:rPr>
            </m:ctrlPr>
          </m:sSubPr>
          <m:e>
            <m:r>
              <w:rPr>
                <w:rFonts w:ascii="Cambria Math" w:hAnsi="Cambria Math"/>
              </w:rPr>
              <m:t>R</m:t>
            </m:r>
          </m:e>
          <m:sub>
            <m:r>
              <w:rPr>
                <w:rFonts w:ascii="Cambria Math" w:hAnsi="Cambria Math"/>
              </w:rPr>
              <m:t>T</m:t>
            </m:r>
          </m:sub>
        </m:sSub>
        <m:r>
          <w:rPr>
            <w:rFonts w:ascii="Cambria Math" w:hAnsi="Cambria Math"/>
          </w:rPr>
          <m:t>+A</m:t>
        </m:r>
      </m:oMath>
      <w:r w:rsidR="002D0C0E" w:rsidRPr="004B6CCC">
        <w:rPr>
          <w:iCs/>
        </w:rPr>
        <w:t>,</w:t>
      </w:r>
    </w:p>
    <w:p w14:paraId="0E5C683F" w14:textId="5C115303" w:rsidR="00FF2275" w:rsidRDefault="002D0C0E" w:rsidP="00CF1B6F">
      <w:pPr>
        <w:spacing w:line="276" w:lineRule="auto"/>
        <w:jc w:val="both"/>
        <w:rPr>
          <w:iCs/>
        </w:rPr>
      </w:pPr>
      <w:r w:rsidRPr="004B6CCC">
        <w:rPr>
          <w:iCs/>
        </w:rPr>
        <w:t xml:space="preserve">where </w:t>
      </w:r>
      <m:oMath>
        <m:r>
          <w:rPr>
            <w:rFonts w:ascii="Cambria Math" w:hAnsi="Cambria Math"/>
          </w:rPr>
          <m:t>A=CRC/G</m:t>
        </m:r>
      </m:oMath>
      <w:r w:rsidRPr="004B6CCC">
        <w:rPr>
          <w:iCs/>
        </w:rPr>
        <w:t xml:space="preserve">, which is </w:t>
      </w:r>
      <w:r w:rsidR="00A6338C" w:rsidRPr="004B6CCC">
        <w:rPr>
          <w:iCs/>
        </w:rPr>
        <w:t xml:space="preserve">very small, if not </w:t>
      </w:r>
      <w:r w:rsidR="00222A8E">
        <w:rPr>
          <w:iCs/>
        </w:rPr>
        <w:t>negligible</w:t>
      </w:r>
      <w:r w:rsidRPr="004B6CCC">
        <w:rPr>
          <w:iCs/>
        </w:rPr>
        <w:t xml:space="preserve">. Hence, it can be observed that with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TBS</m:t>
            </m:r>
          </m:sup>
        </m:sSubSup>
        <m:r>
          <w:rPr>
            <w:rFonts w:ascii="Cambria Math" w:hAnsi="Cambria Math"/>
          </w:rPr>
          <m:t>&lt;</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Tx</m:t>
            </m:r>
          </m:sup>
        </m:sSubSup>
      </m:oMath>
      <w:r w:rsidRPr="004B6CCC">
        <w:rPr>
          <w:iCs/>
        </w:rPr>
        <w:t xml:space="preserve">, one may achieve </w:t>
      </w:r>
      <m:oMath>
        <m:sSub>
          <m:sSubPr>
            <m:ctrlPr>
              <w:rPr>
                <w:rFonts w:ascii="Cambria Math" w:hAnsi="Cambria Math"/>
                <w:i/>
                <w:iCs/>
              </w:rPr>
            </m:ctrlPr>
          </m:sSubPr>
          <m:e>
            <m:r>
              <w:rPr>
                <w:rFonts w:ascii="Cambria Math" w:hAnsi="Cambria Math"/>
              </w:rPr>
              <m:t>R</m:t>
            </m:r>
          </m:e>
          <m:sub>
            <m:r>
              <w:rPr>
                <w:rFonts w:ascii="Cambria Math" w:hAnsi="Cambria Math"/>
              </w:rPr>
              <m:t>E</m:t>
            </m:r>
          </m:sub>
        </m:sSub>
        <m:r>
          <w:rPr>
            <w:rFonts w:ascii="Cambria Math" w:hAnsi="Cambria Math"/>
          </w:rPr>
          <m:t>&lt;</m:t>
        </m:r>
        <m:sSub>
          <m:sSubPr>
            <m:ctrlPr>
              <w:rPr>
                <w:rFonts w:ascii="Cambria Math" w:hAnsi="Cambria Math"/>
                <w:i/>
                <w:iCs/>
              </w:rPr>
            </m:ctrlPr>
          </m:sSubPr>
          <m:e>
            <m:r>
              <w:rPr>
                <w:rFonts w:ascii="Cambria Math" w:hAnsi="Cambria Math"/>
              </w:rPr>
              <m:t>R</m:t>
            </m:r>
          </m:e>
          <m:sub>
            <m:r>
              <w:rPr>
                <w:rFonts w:ascii="Cambria Math" w:hAnsi="Cambria Math"/>
              </w:rPr>
              <m:t>T</m:t>
            </m:r>
          </m:sub>
        </m:sSub>
      </m:oMath>
      <w:r w:rsidR="0067149B">
        <w:rPr>
          <w:iCs/>
        </w:rPr>
        <w:t>, for a given MCS/#PRBs configuration.</w:t>
      </w:r>
    </w:p>
    <w:p w14:paraId="04914076" w14:textId="7B484007" w:rsidR="0067149B" w:rsidRDefault="00FF2275" w:rsidP="00CF1B6F">
      <w:pPr>
        <w:spacing w:line="276" w:lineRule="auto"/>
        <w:jc w:val="both"/>
      </w:pPr>
      <w:r>
        <w:rPr>
          <w:iCs/>
        </w:rPr>
        <w:t>It could be argued that reducing the effective code rate</w:t>
      </w:r>
      <w:r w:rsidR="0067149B">
        <w:rPr>
          <w:iCs/>
        </w:rPr>
        <w:t>, for a given MCS/#PRBs configuration,</w:t>
      </w:r>
      <w:r>
        <w:rPr>
          <w:iCs/>
        </w:rPr>
        <w:t xml:space="preserve"> would be beneficial in coverage shortage scenarios. This would be in general true if no additional target was considered. As a matter of fact, such additional target exists. Indeed,</w:t>
      </w:r>
      <w:r w:rsidR="002A711C" w:rsidRPr="004B6CCC">
        <w:t xml:space="preserve"> </w:t>
      </w:r>
      <w:r>
        <w:t>it is important to recall that a fundamental</w:t>
      </w:r>
      <w:r w:rsidR="00632859" w:rsidRPr="004B6CCC">
        <w:t xml:space="preserve"> benefit of </w:t>
      </w:r>
      <w:proofErr w:type="spellStart"/>
      <w:r w:rsidR="00632859" w:rsidRPr="004B6CCC">
        <w:t>TBoMS</w:t>
      </w:r>
      <w:proofErr w:type="spellEnd"/>
      <w:r w:rsidR="00632859" w:rsidRPr="004B6CCC">
        <w:t xml:space="preserve"> discussed during SI phase is th</w:t>
      </w:r>
      <w:r>
        <w:t>e fact that</w:t>
      </w:r>
      <w:r w:rsidR="00632859" w:rsidRPr="004B6CCC">
        <w:t xml:space="preserve"> </w:t>
      </w:r>
      <w:proofErr w:type="spellStart"/>
      <w:r w:rsidR="00632859" w:rsidRPr="004B6CCC">
        <w:t>TBoMS</w:t>
      </w:r>
      <w:proofErr w:type="spellEnd"/>
      <w:r w:rsidR="00632859" w:rsidRPr="004B6CCC">
        <w:t xml:space="preserve"> can </w:t>
      </w:r>
      <w:r>
        <w:t xml:space="preserve">be used to </w:t>
      </w:r>
      <w:r w:rsidR="00632859" w:rsidRPr="004B6CCC">
        <w:t>convey larger TB</w:t>
      </w:r>
      <w:r>
        <w:t xml:space="preserve">, as compared to the single slot TB transmission. This characteristic of </w:t>
      </w:r>
      <w:proofErr w:type="spellStart"/>
      <w:r>
        <w:t>TB</w:t>
      </w:r>
      <w:r w:rsidR="001E19F6">
        <w:t>o</w:t>
      </w:r>
      <w:r>
        <w:t>MS</w:t>
      </w:r>
      <w:proofErr w:type="spellEnd"/>
      <w:r>
        <w:t xml:space="preserve"> can reduce, if not completely null, the inefficiencies brought by </w:t>
      </w:r>
      <w:r w:rsidR="00ED1CA1" w:rsidRPr="004B6CCC">
        <w:t>upper layer header overhead and better exploit LDPC coding gain for block size</w:t>
      </w:r>
      <w:r w:rsidR="00690FCB">
        <w:t xml:space="preserve"> up to 1000-2000 bits</w:t>
      </w:r>
      <w:r>
        <w:t xml:space="preserve"> (i.e., a relatively large TBS)</w:t>
      </w:r>
      <w:r w:rsidR="00ED1CA1" w:rsidRPr="004B6CCC">
        <w:t xml:space="preserve">. </w:t>
      </w:r>
      <w:r w:rsidR="0067149B">
        <w:t>Using</w:t>
      </w:r>
      <w:r w:rsidR="00ED1CA1" w:rsidRPr="004B6CCC">
        <w:t xml:space="preserve"> all resource elements in the allocated resource for </w:t>
      </w:r>
      <w:proofErr w:type="spellStart"/>
      <w:r w:rsidR="00ED1CA1" w:rsidRPr="004B6CCC">
        <w:t>TBoMS</w:t>
      </w:r>
      <w:proofErr w:type="spellEnd"/>
      <w:r w:rsidR="00ED1CA1" w:rsidRPr="004B6CCC">
        <w:t xml:space="preserve"> for TBS determination</w:t>
      </w:r>
      <w:r w:rsidR="0067149B">
        <w:t>, i.e., as per Approach 1 above, would then allow to support such TBS values (and others, if needed, of course)</w:t>
      </w:r>
      <w:r w:rsidR="00ED1CA1" w:rsidRPr="004B6CCC">
        <w:t xml:space="preserve">. </w:t>
      </w:r>
      <w:r w:rsidR="0067149B">
        <w:t>This could only increase the flexibility of the feature and its applicability in many scenarios. S</w:t>
      </w:r>
      <w:r w:rsidR="00ED1CA1" w:rsidRPr="004B6CCC">
        <w:t>mall</w:t>
      </w:r>
      <w:r w:rsidR="0067149B">
        <w:t>er</w:t>
      </w:r>
      <w:r w:rsidR="00ED1CA1" w:rsidRPr="004B6CCC">
        <w:t xml:space="preserve"> effective coding rate </w:t>
      </w:r>
      <w:r w:rsidR="0067149B">
        <w:t xml:space="preserve">could then be achieved by reducing configured MCS index and, whenever MCS indices in MCS Table 1 (64qam) are not sufficient, by using </w:t>
      </w:r>
      <w:r w:rsidR="00ED1CA1" w:rsidRPr="004B6CCC">
        <w:t>MSC Table 3 (64qam_lowSE)</w:t>
      </w:r>
      <w:r w:rsidR="0067149B">
        <w:t xml:space="preserve"> in conjunction with </w:t>
      </w:r>
      <w:proofErr w:type="spellStart"/>
      <w:r w:rsidR="0067149B">
        <w:t>TBoMS</w:t>
      </w:r>
      <w:proofErr w:type="spellEnd"/>
      <w:r w:rsidR="0067149B">
        <w:t xml:space="preserve">. This would allow </w:t>
      </w:r>
      <w:proofErr w:type="spellStart"/>
      <w:r w:rsidR="0067149B">
        <w:t>gNB</w:t>
      </w:r>
      <w:proofErr w:type="spellEnd"/>
      <w:r w:rsidR="0067149B">
        <w:t xml:space="preserve"> to both enjoy more flexibility in terms of maximum supported TBS by </w:t>
      </w:r>
      <w:proofErr w:type="spellStart"/>
      <w:r w:rsidR="0067149B">
        <w:t>TBoMS</w:t>
      </w:r>
      <w:proofErr w:type="spellEnd"/>
      <w:r w:rsidR="0067149B">
        <w:t>, thanks to the adoption of Approach 1, while also experiencing very low effective coding rates thanks to a much lower minimum coding rate which could be configured via MCS Table 3, if needed. This would also have the non-negligible advantage of requiring</w:t>
      </w:r>
      <w:r w:rsidR="005A5931" w:rsidRPr="004B6CCC">
        <w:t xml:space="preserve"> small (if not zero) specification effor</w:t>
      </w:r>
      <w:r w:rsidR="0067149B">
        <w:t xml:space="preserve">t. </w:t>
      </w:r>
    </w:p>
    <w:p w14:paraId="6EFE86C8" w14:textId="2C8860CC" w:rsidR="005A5931" w:rsidRPr="004B6CCC" w:rsidRDefault="005A5931" w:rsidP="00CF1B6F">
      <w:pPr>
        <w:spacing w:line="276" w:lineRule="auto"/>
        <w:jc w:val="both"/>
      </w:pPr>
      <w:r w:rsidRPr="004B6CCC">
        <w:t>From the above analysis, we propose the following:</w:t>
      </w:r>
    </w:p>
    <w:p w14:paraId="4F96D6CC" w14:textId="60A43778" w:rsidR="0067149B" w:rsidRPr="00833418" w:rsidRDefault="0067149B" w:rsidP="00CF1B6F">
      <w:pPr>
        <w:pStyle w:val="Caption"/>
        <w:jc w:val="both"/>
        <w:rPr>
          <w:bCs/>
          <w:szCs w:val="22"/>
        </w:rPr>
      </w:pPr>
      <w:bookmarkStart w:id="9" w:name="_Toc68630590"/>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945AF9">
        <w:rPr>
          <w:noProof/>
          <w:szCs w:val="22"/>
        </w:rPr>
        <w:t>5</w:t>
      </w:r>
      <w:r w:rsidRPr="00B066E0">
        <w:rPr>
          <w:szCs w:val="22"/>
        </w:rPr>
        <w:fldChar w:fldCharType="end"/>
      </w:r>
      <w:r w:rsidRPr="00B066E0">
        <w:rPr>
          <w:szCs w:val="22"/>
        </w:rPr>
        <w:t xml:space="preserve">. </w:t>
      </w:r>
      <w:proofErr w:type="spellStart"/>
      <w:r w:rsidR="00833418" w:rsidRPr="00833418">
        <w:rPr>
          <w:bCs/>
          <w:i/>
          <w:iCs/>
          <w:szCs w:val="22"/>
        </w:rPr>
        <w:t>N</w:t>
      </w:r>
      <w:r w:rsidR="00833418" w:rsidRPr="00833418">
        <w:rPr>
          <w:bCs/>
          <w:szCs w:val="22"/>
          <w:vertAlign w:val="subscript"/>
        </w:rPr>
        <w:t>Info</w:t>
      </w:r>
      <w:proofErr w:type="spellEnd"/>
      <w:r w:rsidR="00833418" w:rsidRPr="00833418">
        <w:rPr>
          <w:bCs/>
          <w:szCs w:val="22"/>
        </w:rPr>
        <w:t xml:space="preserve"> for </w:t>
      </w:r>
      <w:proofErr w:type="spellStart"/>
      <w:r w:rsidR="00833418" w:rsidRPr="00833418">
        <w:rPr>
          <w:bCs/>
          <w:szCs w:val="22"/>
        </w:rPr>
        <w:t>TBoMS</w:t>
      </w:r>
      <w:proofErr w:type="spellEnd"/>
      <w:r w:rsidR="00833418" w:rsidRPr="00833418">
        <w:rPr>
          <w:bCs/>
          <w:szCs w:val="22"/>
        </w:rPr>
        <w:t xml:space="preserve"> is calculated based on all REs determined across the symbols over which the </w:t>
      </w:r>
      <w:proofErr w:type="spellStart"/>
      <w:r w:rsidR="00833418" w:rsidRPr="00833418">
        <w:rPr>
          <w:bCs/>
          <w:szCs w:val="22"/>
        </w:rPr>
        <w:t>TBoMS</w:t>
      </w:r>
      <w:proofErr w:type="spellEnd"/>
      <w:r w:rsidR="00833418" w:rsidRPr="00833418">
        <w:rPr>
          <w:bCs/>
          <w:szCs w:val="22"/>
        </w:rPr>
        <w:t xml:space="preserve"> transmission is allocated.</w:t>
      </w:r>
      <w:bookmarkEnd w:id="9"/>
    </w:p>
    <w:p w14:paraId="627B3B5D" w14:textId="77777777" w:rsidR="00CB370E" w:rsidRPr="004B6CCC" w:rsidRDefault="00CB370E" w:rsidP="00CF1B6F">
      <w:pPr>
        <w:spacing w:after="0" w:line="276" w:lineRule="auto"/>
        <w:jc w:val="both"/>
        <w:rPr>
          <w:b/>
          <w:bCs/>
        </w:rPr>
      </w:pPr>
    </w:p>
    <w:p w14:paraId="59EEFC76" w14:textId="39B1E402" w:rsidR="003D51C7" w:rsidRPr="004B6CCC" w:rsidRDefault="00FF151B" w:rsidP="00CF1B6F">
      <w:pPr>
        <w:pStyle w:val="Heading3"/>
        <w:spacing w:before="0" w:after="120" w:line="276" w:lineRule="auto"/>
        <w:contextualSpacing/>
        <w:jc w:val="both"/>
        <w:rPr>
          <w:lang w:val="en-US"/>
        </w:rPr>
      </w:pP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r>
          <w:rPr>
            <w:rFonts w:ascii="Cambria Math" w:hAnsi="Cambria Math"/>
            <w:lang w:val="en-US"/>
          </w:rPr>
          <m:t xml:space="preserve"> </m:t>
        </m:r>
      </m:oMath>
      <w:r w:rsidR="003D51C7" w:rsidRPr="004B6CCC">
        <w:rPr>
          <w:lang w:val="en-US"/>
        </w:rPr>
        <w:t>calculation</w:t>
      </w:r>
    </w:p>
    <w:tbl>
      <w:tblPr>
        <w:tblStyle w:val="TableGrid"/>
        <w:tblW w:w="0" w:type="auto"/>
        <w:tblLook w:val="04A0" w:firstRow="1" w:lastRow="0" w:firstColumn="1" w:lastColumn="0" w:noHBand="0" w:noVBand="1"/>
      </w:tblPr>
      <w:tblGrid>
        <w:gridCol w:w="9629"/>
      </w:tblGrid>
      <w:tr w:rsidR="00E21C34" w:rsidRPr="004B6CCC" w14:paraId="60ACD552" w14:textId="77777777" w:rsidTr="00E21C34">
        <w:tc>
          <w:tcPr>
            <w:tcW w:w="9629" w:type="dxa"/>
          </w:tcPr>
          <w:p w14:paraId="4B901D45" w14:textId="77777777" w:rsidR="00E21C34" w:rsidRPr="00E21C34" w:rsidRDefault="00E21C34" w:rsidP="00CF1B6F">
            <w:pPr>
              <w:spacing w:after="0" w:line="276" w:lineRule="auto"/>
              <w:contextualSpacing/>
              <w:jc w:val="both"/>
            </w:pPr>
            <w:r w:rsidRPr="00E21C34">
              <w:rPr>
                <w:highlight w:val="green"/>
              </w:rPr>
              <w:t>Agreements:</w:t>
            </w:r>
          </w:p>
          <w:p w14:paraId="72BFC1B2" w14:textId="77777777" w:rsidR="00E21C34" w:rsidRPr="00E21C34" w:rsidRDefault="00E21C34" w:rsidP="00CF1B6F">
            <w:pPr>
              <w:spacing w:after="0" w:line="276" w:lineRule="auto"/>
              <w:contextualSpacing/>
              <w:jc w:val="both"/>
            </w:pPr>
            <w:r w:rsidRPr="00E21C34">
              <w:t xml:space="preserve">One or two of the following options will be considered (aiming for down-selection in RAN1#104b-e) to calculate </w:t>
            </w:r>
            <w:proofErr w:type="spellStart"/>
            <w:r w:rsidRPr="00E21C34">
              <w:rPr>
                <w:i/>
                <w:iCs/>
              </w:rPr>
              <w:t>N</w:t>
            </w:r>
            <w:r w:rsidRPr="00E21C34">
              <w:rPr>
                <w:i/>
                <w:iCs/>
                <w:vertAlign w:val="subscript"/>
              </w:rPr>
              <w:t>oh</w:t>
            </w:r>
            <w:r w:rsidRPr="00E21C34">
              <w:rPr>
                <w:i/>
                <w:iCs/>
                <w:vertAlign w:val="superscript"/>
              </w:rPr>
              <w:t>PRB</w:t>
            </w:r>
            <w:proofErr w:type="spellEnd"/>
            <w:r w:rsidRPr="00E21C34">
              <w:t xml:space="preserve"> for </w:t>
            </w:r>
            <w:proofErr w:type="spellStart"/>
            <w:r w:rsidRPr="00E21C34">
              <w:t>TBoMS</w:t>
            </w:r>
            <w:proofErr w:type="spellEnd"/>
            <w:r w:rsidRPr="00E21C34">
              <w:t>:</w:t>
            </w:r>
          </w:p>
          <w:p w14:paraId="4176BD81" w14:textId="77777777" w:rsidR="00E21C34" w:rsidRPr="004B6CCC" w:rsidRDefault="00E21C34" w:rsidP="002B2E66">
            <w:pPr>
              <w:pStyle w:val="ListParagraph"/>
              <w:numPr>
                <w:ilvl w:val="0"/>
                <w:numId w:val="41"/>
              </w:numPr>
            </w:pPr>
            <w:r w:rsidRPr="004B6CCC">
              <w:rPr>
                <w:b/>
                <w:bCs/>
              </w:rPr>
              <w:t>Option 1</w:t>
            </w:r>
            <w:r w:rsidRPr="004B6CCC">
              <w:t xml:space="preserve">: </w:t>
            </w:r>
            <w:proofErr w:type="spellStart"/>
            <w:r w:rsidRPr="004B6CCC">
              <w:rPr>
                <w:i/>
                <w:iCs/>
              </w:rPr>
              <w:t>N</w:t>
            </w:r>
            <w:r w:rsidRPr="004B6CCC">
              <w:rPr>
                <w:i/>
                <w:iCs/>
                <w:vertAlign w:val="subscript"/>
              </w:rPr>
              <w:t>oh</w:t>
            </w:r>
            <w:r w:rsidRPr="004B6CCC">
              <w:rPr>
                <w:i/>
                <w:iCs/>
                <w:vertAlign w:val="superscript"/>
              </w:rPr>
              <w:t>PRB</w:t>
            </w:r>
            <w:proofErr w:type="spellEnd"/>
            <w:r w:rsidRPr="004B6CCC">
              <w:t xml:space="preserve"> is </w:t>
            </w:r>
            <w:proofErr w:type="spellStart"/>
            <w:r w:rsidRPr="004B6CCC">
              <w:t>assumed</w:t>
            </w:r>
            <w:proofErr w:type="spellEnd"/>
            <w:r w:rsidRPr="004B6CCC">
              <w:t xml:space="preserve"> to </w:t>
            </w:r>
            <w:proofErr w:type="spellStart"/>
            <w:r w:rsidRPr="004B6CCC">
              <w:t>be</w:t>
            </w:r>
            <w:proofErr w:type="spellEnd"/>
            <w:r w:rsidRPr="004B6CCC">
              <w:t xml:space="preserve"> </w:t>
            </w:r>
            <w:proofErr w:type="spellStart"/>
            <w:r w:rsidRPr="004B6CCC">
              <w:t>the</w:t>
            </w:r>
            <w:proofErr w:type="spellEnd"/>
            <w:r w:rsidRPr="004B6CCC">
              <w:t xml:space="preserve"> </w:t>
            </w:r>
            <w:proofErr w:type="spellStart"/>
            <w:r w:rsidRPr="004B6CCC">
              <w:t>same</w:t>
            </w:r>
            <w:proofErr w:type="spellEnd"/>
            <w:r w:rsidRPr="004B6CCC">
              <w:t xml:space="preserve"> for </w:t>
            </w:r>
            <w:proofErr w:type="spellStart"/>
            <w:r w:rsidRPr="004B6CCC">
              <w:t>all</w:t>
            </w:r>
            <w:proofErr w:type="spellEnd"/>
            <w:r w:rsidRPr="004B6CCC">
              <w:t xml:space="preserve"> </w:t>
            </w:r>
            <w:proofErr w:type="spellStart"/>
            <w:r w:rsidRPr="004B6CCC">
              <w:t>the</w:t>
            </w:r>
            <w:proofErr w:type="spellEnd"/>
            <w:r w:rsidRPr="004B6CCC">
              <w:t xml:space="preserve"> </w:t>
            </w:r>
            <w:proofErr w:type="spellStart"/>
            <w:r w:rsidRPr="004B6CCC">
              <w:t>slots</w:t>
            </w:r>
            <w:proofErr w:type="spellEnd"/>
            <w:r w:rsidRPr="004B6CCC">
              <w:t xml:space="preserve"> </w:t>
            </w:r>
            <w:proofErr w:type="spellStart"/>
            <w:r w:rsidRPr="004B6CCC">
              <w:t>over</w:t>
            </w:r>
            <w:proofErr w:type="spellEnd"/>
            <w:r w:rsidRPr="004B6CCC">
              <w:t xml:space="preserve"> </w:t>
            </w:r>
            <w:proofErr w:type="spellStart"/>
            <w:r w:rsidRPr="004B6CCC">
              <w:t>which</w:t>
            </w:r>
            <w:proofErr w:type="spellEnd"/>
            <w:r w:rsidRPr="004B6CCC">
              <w:t xml:space="preserve"> </w:t>
            </w:r>
            <w:proofErr w:type="spellStart"/>
            <w:r w:rsidRPr="004B6CCC">
              <w:t>the</w:t>
            </w:r>
            <w:proofErr w:type="spellEnd"/>
            <w:r w:rsidRPr="004B6CCC">
              <w:t xml:space="preserve"> </w:t>
            </w:r>
            <w:proofErr w:type="spellStart"/>
            <w:r w:rsidRPr="004B6CCC">
              <w:t>TBoMS</w:t>
            </w:r>
            <w:proofErr w:type="spellEnd"/>
            <w:r w:rsidRPr="004B6CCC">
              <w:t xml:space="preserve"> transmission is </w:t>
            </w:r>
            <w:proofErr w:type="spellStart"/>
            <w:r w:rsidRPr="004B6CCC">
              <w:t>allocated</w:t>
            </w:r>
            <w:proofErr w:type="spellEnd"/>
            <w:r w:rsidRPr="004B6CCC">
              <w:t xml:space="preserve"> and </w:t>
            </w:r>
            <w:proofErr w:type="spellStart"/>
            <w:r w:rsidRPr="004B6CCC">
              <w:t>can</w:t>
            </w:r>
            <w:proofErr w:type="spellEnd"/>
            <w:r w:rsidRPr="004B6CCC">
              <w:t xml:space="preserve"> </w:t>
            </w:r>
            <w:proofErr w:type="spellStart"/>
            <w:r w:rsidRPr="004B6CCC">
              <w:t>be</w:t>
            </w:r>
            <w:proofErr w:type="spellEnd"/>
            <w:r w:rsidRPr="004B6CCC">
              <w:t xml:space="preserve"> </w:t>
            </w:r>
            <w:proofErr w:type="spellStart"/>
            <w:r w:rsidRPr="004B6CCC">
              <w:t>configured</w:t>
            </w:r>
            <w:proofErr w:type="spellEnd"/>
            <w:r w:rsidRPr="004B6CCC">
              <w:t xml:space="preserve"> </w:t>
            </w:r>
            <w:proofErr w:type="spellStart"/>
            <w:r w:rsidRPr="004B6CCC">
              <w:t>by</w:t>
            </w:r>
            <w:proofErr w:type="spellEnd"/>
            <w:r w:rsidRPr="004B6CCC">
              <w:t xml:space="preserve"> </w:t>
            </w:r>
            <w:proofErr w:type="spellStart"/>
            <w:r w:rsidRPr="004B6CCC">
              <w:rPr>
                <w:i/>
                <w:iCs/>
              </w:rPr>
              <w:t>xOverhead</w:t>
            </w:r>
            <w:proofErr w:type="spellEnd"/>
            <w:r w:rsidRPr="004B6CCC">
              <w:t xml:space="preserve"> as in Rel-15/16.</w:t>
            </w:r>
          </w:p>
          <w:p w14:paraId="0350D0D0" w14:textId="77777777" w:rsidR="00E21C34" w:rsidRPr="004B6CCC" w:rsidRDefault="00E21C34" w:rsidP="002B2E66">
            <w:pPr>
              <w:pStyle w:val="ListParagraph"/>
              <w:numPr>
                <w:ilvl w:val="0"/>
                <w:numId w:val="41"/>
              </w:numPr>
            </w:pPr>
            <w:r w:rsidRPr="004B6CCC">
              <w:rPr>
                <w:b/>
                <w:bCs/>
              </w:rPr>
              <w:lastRenderedPageBreak/>
              <w:t>Option 2</w:t>
            </w:r>
            <w:r w:rsidRPr="004B6CCC">
              <w:t xml:space="preserve">: </w:t>
            </w:r>
            <w:proofErr w:type="spellStart"/>
            <w:r w:rsidRPr="004B6CCC">
              <w:rPr>
                <w:i/>
                <w:iCs/>
              </w:rPr>
              <w:t>N</w:t>
            </w:r>
            <w:r w:rsidRPr="004B6CCC">
              <w:rPr>
                <w:i/>
                <w:iCs/>
                <w:vertAlign w:val="subscript"/>
              </w:rPr>
              <w:t>oh</w:t>
            </w:r>
            <w:r w:rsidRPr="004B6CCC">
              <w:rPr>
                <w:i/>
                <w:iCs/>
                <w:vertAlign w:val="superscript"/>
              </w:rPr>
              <w:t>PRB</w:t>
            </w:r>
            <w:proofErr w:type="spellEnd"/>
            <w:r w:rsidRPr="004B6CCC">
              <w:t xml:space="preserve"> is </w:t>
            </w:r>
            <w:proofErr w:type="spellStart"/>
            <w:r w:rsidRPr="004B6CCC">
              <w:t>calculated</w:t>
            </w:r>
            <w:proofErr w:type="spellEnd"/>
            <w:r w:rsidRPr="004B6CCC">
              <w:t xml:space="preserve"> </w:t>
            </w:r>
            <w:proofErr w:type="spellStart"/>
            <w:r w:rsidRPr="004B6CCC">
              <w:t>depending</w:t>
            </w:r>
            <w:proofErr w:type="spellEnd"/>
            <w:r w:rsidRPr="004B6CCC">
              <w:t xml:space="preserve"> on </w:t>
            </w:r>
            <w:proofErr w:type="spellStart"/>
            <w:r w:rsidRPr="004B6CCC">
              <w:t>both</w:t>
            </w:r>
            <w:proofErr w:type="spellEnd"/>
            <w:r w:rsidRPr="004B6CCC">
              <w:t xml:space="preserve"> </w:t>
            </w:r>
            <w:proofErr w:type="spellStart"/>
            <w:r w:rsidRPr="004B6CCC">
              <w:rPr>
                <w:i/>
                <w:iCs/>
              </w:rPr>
              <w:t>xOverhead</w:t>
            </w:r>
            <w:proofErr w:type="spellEnd"/>
            <w:r w:rsidRPr="004B6CCC">
              <w:t xml:space="preserve"> and </w:t>
            </w:r>
            <w:proofErr w:type="spellStart"/>
            <w:r w:rsidRPr="004B6CCC">
              <w:t>the</w:t>
            </w:r>
            <w:proofErr w:type="spellEnd"/>
            <w:r w:rsidRPr="004B6CCC">
              <w:t xml:space="preserve"> </w:t>
            </w:r>
            <w:proofErr w:type="spellStart"/>
            <w:r w:rsidRPr="004B6CCC">
              <w:t>number</w:t>
            </w:r>
            <w:proofErr w:type="spellEnd"/>
            <w:r w:rsidRPr="004B6CCC">
              <w:t xml:space="preserve"> of </w:t>
            </w:r>
            <w:proofErr w:type="spellStart"/>
            <w:r w:rsidRPr="004B6CCC">
              <w:t>symbols</w:t>
            </w:r>
            <w:proofErr w:type="spellEnd"/>
            <w:r w:rsidRPr="004B6CCC">
              <w:t xml:space="preserve"> </w:t>
            </w:r>
            <w:proofErr w:type="spellStart"/>
            <w:r w:rsidRPr="004B6CCC">
              <w:t>or</w:t>
            </w:r>
            <w:proofErr w:type="spellEnd"/>
            <w:r w:rsidRPr="004B6CCC">
              <w:t xml:space="preserve"> </w:t>
            </w:r>
            <w:proofErr w:type="spellStart"/>
            <w:r w:rsidRPr="004B6CCC">
              <w:t>slots</w:t>
            </w:r>
            <w:proofErr w:type="spellEnd"/>
            <w:r w:rsidRPr="004B6CCC">
              <w:t xml:space="preserve"> (FFS </w:t>
            </w:r>
            <w:proofErr w:type="spellStart"/>
            <w:r w:rsidRPr="004B6CCC">
              <w:t>whether</w:t>
            </w:r>
            <w:proofErr w:type="spellEnd"/>
            <w:r w:rsidRPr="004B6CCC">
              <w:t xml:space="preserve"> </w:t>
            </w:r>
            <w:proofErr w:type="spellStart"/>
            <w:r w:rsidRPr="004B6CCC">
              <w:t>symbol</w:t>
            </w:r>
            <w:proofErr w:type="spellEnd"/>
            <w:r w:rsidRPr="004B6CCC">
              <w:t xml:space="preserve"> </w:t>
            </w:r>
            <w:proofErr w:type="spellStart"/>
            <w:r w:rsidRPr="004B6CCC">
              <w:t>or</w:t>
            </w:r>
            <w:proofErr w:type="spellEnd"/>
            <w:r w:rsidRPr="004B6CCC">
              <w:t xml:space="preserve"> </w:t>
            </w:r>
            <w:proofErr w:type="spellStart"/>
            <w:r w:rsidRPr="004B6CCC">
              <w:t>slot</w:t>
            </w:r>
            <w:proofErr w:type="spellEnd"/>
            <w:r w:rsidRPr="004B6CCC">
              <w:t xml:space="preserve"> </w:t>
            </w:r>
            <w:proofErr w:type="spellStart"/>
            <w:r w:rsidRPr="004B6CCC">
              <w:t>are</w:t>
            </w:r>
            <w:proofErr w:type="spellEnd"/>
            <w:r w:rsidRPr="004B6CCC">
              <w:t xml:space="preserve"> </w:t>
            </w:r>
            <w:proofErr w:type="spellStart"/>
            <w:r w:rsidRPr="004B6CCC">
              <w:t>used</w:t>
            </w:r>
            <w:proofErr w:type="spellEnd"/>
            <w:r w:rsidRPr="004B6CCC">
              <w:t xml:space="preserve">) </w:t>
            </w:r>
            <w:proofErr w:type="spellStart"/>
            <w:r w:rsidRPr="004B6CCC">
              <w:t>over</w:t>
            </w:r>
            <w:proofErr w:type="spellEnd"/>
            <w:r w:rsidRPr="004B6CCC">
              <w:t xml:space="preserve"> </w:t>
            </w:r>
            <w:proofErr w:type="spellStart"/>
            <w:r w:rsidRPr="004B6CCC">
              <w:t>which</w:t>
            </w:r>
            <w:proofErr w:type="spellEnd"/>
            <w:r w:rsidRPr="004B6CCC">
              <w:t xml:space="preserve"> </w:t>
            </w:r>
            <w:proofErr w:type="spellStart"/>
            <w:r w:rsidRPr="004B6CCC">
              <w:t>the</w:t>
            </w:r>
            <w:proofErr w:type="spellEnd"/>
            <w:r w:rsidRPr="004B6CCC">
              <w:t xml:space="preserve"> </w:t>
            </w:r>
            <w:proofErr w:type="spellStart"/>
            <w:r w:rsidRPr="004B6CCC">
              <w:t>TBoMS</w:t>
            </w:r>
            <w:proofErr w:type="spellEnd"/>
            <w:r w:rsidRPr="004B6CCC">
              <w:t xml:space="preserve"> transmission is </w:t>
            </w:r>
            <w:proofErr w:type="spellStart"/>
            <w:r w:rsidRPr="004B6CCC">
              <w:t>allocated</w:t>
            </w:r>
            <w:proofErr w:type="spellEnd"/>
            <w:r w:rsidRPr="004B6CCC">
              <w:t>.</w:t>
            </w:r>
          </w:p>
          <w:p w14:paraId="4E6771F6" w14:textId="77777777" w:rsidR="00E21C34" w:rsidRPr="004B6CCC" w:rsidRDefault="00E21C34" w:rsidP="002B2E66">
            <w:pPr>
              <w:pStyle w:val="ListParagraph"/>
              <w:numPr>
                <w:ilvl w:val="1"/>
                <w:numId w:val="41"/>
              </w:numPr>
            </w:pPr>
            <w:r w:rsidRPr="004B6CCC">
              <w:t xml:space="preserve">FFS: </w:t>
            </w:r>
            <w:proofErr w:type="spellStart"/>
            <w:r w:rsidRPr="004B6CCC">
              <w:t>if</w:t>
            </w:r>
            <w:proofErr w:type="spellEnd"/>
            <w:r w:rsidRPr="004B6CCC">
              <w:t xml:space="preserve"> </w:t>
            </w:r>
            <w:proofErr w:type="spellStart"/>
            <w:r w:rsidRPr="004B6CCC">
              <w:t>either</w:t>
            </w:r>
            <w:proofErr w:type="spellEnd"/>
            <w:r w:rsidRPr="004B6CCC">
              <w:t xml:space="preserve"> </w:t>
            </w:r>
            <w:proofErr w:type="spellStart"/>
            <w:r w:rsidRPr="004B6CCC">
              <w:t>the</w:t>
            </w:r>
            <w:proofErr w:type="spellEnd"/>
            <w:r w:rsidRPr="004B6CCC">
              <w:t xml:space="preserve"> </w:t>
            </w:r>
            <w:proofErr w:type="spellStart"/>
            <w:r w:rsidRPr="004B6CCC">
              <w:t>number</w:t>
            </w:r>
            <w:proofErr w:type="spellEnd"/>
            <w:r w:rsidRPr="004B6CCC">
              <w:t xml:space="preserve"> of </w:t>
            </w:r>
            <w:proofErr w:type="spellStart"/>
            <w:r w:rsidRPr="004B6CCC">
              <w:t>symbols</w:t>
            </w:r>
            <w:proofErr w:type="spellEnd"/>
            <w:r w:rsidRPr="004B6CCC">
              <w:t xml:space="preserve"> </w:t>
            </w:r>
            <w:proofErr w:type="spellStart"/>
            <w:r w:rsidRPr="004B6CCC">
              <w:t>or</w:t>
            </w:r>
            <w:proofErr w:type="spellEnd"/>
            <w:r w:rsidRPr="004B6CCC">
              <w:t xml:space="preserve"> </w:t>
            </w:r>
            <w:proofErr w:type="spellStart"/>
            <w:r w:rsidRPr="004B6CCC">
              <w:t>the</w:t>
            </w:r>
            <w:proofErr w:type="spellEnd"/>
            <w:r w:rsidRPr="004B6CCC">
              <w:t xml:space="preserve"> </w:t>
            </w:r>
            <w:proofErr w:type="spellStart"/>
            <w:r w:rsidRPr="004B6CCC">
              <w:t>number</w:t>
            </w:r>
            <w:proofErr w:type="spellEnd"/>
            <w:r w:rsidRPr="004B6CCC">
              <w:t xml:space="preserve"> of </w:t>
            </w:r>
            <w:proofErr w:type="spellStart"/>
            <w:r w:rsidRPr="004B6CCC">
              <w:t>slots</w:t>
            </w:r>
            <w:proofErr w:type="spellEnd"/>
            <w:r w:rsidRPr="004B6CCC">
              <w:t xml:space="preserve"> is </w:t>
            </w:r>
            <w:proofErr w:type="spellStart"/>
            <w:r w:rsidRPr="004B6CCC">
              <w:t>used</w:t>
            </w:r>
            <w:proofErr w:type="spellEnd"/>
            <w:r w:rsidRPr="004B6CCC">
              <w:t xml:space="preserve">. </w:t>
            </w:r>
          </w:p>
          <w:p w14:paraId="718BBF43" w14:textId="77777777" w:rsidR="00E21C34" w:rsidRPr="004B6CCC" w:rsidRDefault="00E21C34" w:rsidP="002B2E66">
            <w:pPr>
              <w:pStyle w:val="ListParagraph"/>
              <w:numPr>
                <w:ilvl w:val="1"/>
                <w:numId w:val="41"/>
              </w:numPr>
            </w:pPr>
            <w:r w:rsidRPr="004B6CCC">
              <w:t xml:space="preserve">FFS: </w:t>
            </w:r>
            <w:proofErr w:type="spellStart"/>
            <w:r w:rsidRPr="004B6CCC">
              <w:t>if</w:t>
            </w:r>
            <w:proofErr w:type="spellEnd"/>
            <w:r w:rsidRPr="004B6CCC">
              <w:t xml:space="preserve"> </w:t>
            </w:r>
            <w:proofErr w:type="spellStart"/>
            <w:r w:rsidRPr="004B6CCC">
              <w:t>xOverhead</w:t>
            </w:r>
            <w:proofErr w:type="spellEnd"/>
            <w:r w:rsidRPr="004B6CCC">
              <w:t xml:space="preserve"> is </w:t>
            </w:r>
            <w:proofErr w:type="spellStart"/>
            <w:r w:rsidRPr="004B6CCC">
              <w:t>separately</w:t>
            </w:r>
            <w:proofErr w:type="spellEnd"/>
            <w:r w:rsidRPr="004B6CCC">
              <w:t xml:space="preserve"> </w:t>
            </w:r>
            <w:proofErr w:type="spellStart"/>
            <w:r w:rsidRPr="004B6CCC">
              <w:t>configured</w:t>
            </w:r>
            <w:proofErr w:type="spellEnd"/>
            <w:r w:rsidRPr="004B6CCC">
              <w:t xml:space="preserve"> </w:t>
            </w:r>
            <w:proofErr w:type="spellStart"/>
            <w:r w:rsidRPr="004B6CCC">
              <w:t>from</w:t>
            </w:r>
            <w:proofErr w:type="spellEnd"/>
            <w:r w:rsidRPr="004B6CCC">
              <w:t xml:space="preserve"> </w:t>
            </w:r>
            <w:proofErr w:type="spellStart"/>
            <w:r w:rsidRPr="004B6CCC">
              <w:t>the</w:t>
            </w:r>
            <w:proofErr w:type="spellEnd"/>
            <w:r w:rsidRPr="004B6CCC">
              <w:t xml:space="preserve"> </w:t>
            </w:r>
            <w:proofErr w:type="spellStart"/>
            <w:r w:rsidRPr="004B6CCC">
              <w:t>one</w:t>
            </w:r>
            <w:proofErr w:type="spellEnd"/>
            <w:r w:rsidRPr="004B6CCC">
              <w:t xml:space="preserve"> in Rel-15/16.</w:t>
            </w:r>
          </w:p>
          <w:p w14:paraId="19355678" w14:textId="77777777" w:rsidR="00E21C34" w:rsidRPr="00E21C34" w:rsidRDefault="00E21C34" w:rsidP="00CF1B6F">
            <w:pPr>
              <w:spacing w:after="0" w:line="276" w:lineRule="auto"/>
              <w:contextualSpacing/>
              <w:jc w:val="both"/>
            </w:pPr>
            <w:r w:rsidRPr="00E21C34">
              <w:t xml:space="preserve">FFS: impacts and further details if repetitions of </w:t>
            </w:r>
            <w:proofErr w:type="spellStart"/>
            <w:r w:rsidRPr="00E21C34">
              <w:t>TBoMS</w:t>
            </w:r>
            <w:proofErr w:type="spellEnd"/>
            <w:r w:rsidRPr="00E21C34">
              <w:t xml:space="preserve"> is supported.</w:t>
            </w:r>
          </w:p>
          <w:p w14:paraId="736ABBA0" w14:textId="611DC457" w:rsidR="00E21C34" w:rsidRPr="004B6CCC" w:rsidRDefault="00E21C34" w:rsidP="00CF1B6F">
            <w:pPr>
              <w:spacing w:after="0" w:line="276" w:lineRule="auto"/>
              <w:contextualSpacing/>
              <w:jc w:val="both"/>
            </w:pPr>
            <w:r w:rsidRPr="00E21C34">
              <w:t xml:space="preserve">FFS: whether the symbols allocated over which the </w:t>
            </w:r>
            <w:proofErr w:type="spellStart"/>
            <w:r w:rsidRPr="00E21C34">
              <w:t>TBoMS</w:t>
            </w:r>
            <w:proofErr w:type="spellEnd"/>
            <w:r w:rsidRPr="00E21C34">
              <w:t xml:space="preserve"> transmission is allocated are the same or can be different from the symbols over which the </w:t>
            </w:r>
            <w:proofErr w:type="spellStart"/>
            <w:r w:rsidRPr="00E21C34">
              <w:t>TBoMS</w:t>
            </w:r>
            <w:proofErr w:type="spellEnd"/>
            <w:r w:rsidRPr="00E21C34">
              <w:t xml:space="preserve"> transmission is performed.</w:t>
            </w:r>
          </w:p>
        </w:tc>
      </w:tr>
    </w:tbl>
    <w:p w14:paraId="1525CAD8" w14:textId="77777777" w:rsidR="00237A62" w:rsidRDefault="00237A62" w:rsidP="00CF1B6F">
      <w:pPr>
        <w:spacing w:after="0" w:line="276" w:lineRule="auto"/>
        <w:jc w:val="both"/>
      </w:pPr>
    </w:p>
    <w:p w14:paraId="163FC50E" w14:textId="3DE76C5F" w:rsidR="003B7892" w:rsidRDefault="007B3277" w:rsidP="00CF1B6F">
      <w:pPr>
        <w:spacing w:line="276" w:lineRule="auto"/>
        <w:jc w:val="both"/>
      </w:pPr>
      <w:r w:rsidRPr="004B6CCC">
        <w:t>It is our understanding that the intention of</w:t>
      </w:r>
      <w:r w:rsidR="007B528F" w:rsidRPr="004B6CCC">
        <w:t xml:space="preserve"> defining</w:t>
      </w:r>
      <w:r w:rsidRPr="004B6CCC">
        <w:t xml:space="preserve"> t</w:t>
      </w:r>
      <w:r w:rsidR="009A3772" w:rsidRPr="004B6CCC">
        <w:t xml:space="preserve">he above </w:t>
      </w:r>
      <w:r w:rsidR="001D428F" w:rsidRPr="004B6CCC">
        <w:t xml:space="preserve">Option 1 and Option 2 for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r>
          <w:rPr>
            <w:rFonts w:ascii="Cambria Math" w:hAnsi="Cambria Math"/>
          </w:rPr>
          <m:t xml:space="preserve"> </m:t>
        </m:r>
      </m:oMath>
      <w:r w:rsidR="001D428F" w:rsidRPr="004B6CCC">
        <w:t>calculation</w:t>
      </w:r>
      <w:r w:rsidR="007B528F" w:rsidRPr="004B6CCC">
        <w:t xml:space="preserve"> is to</w:t>
      </w:r>
      <w:r w:rsidR="001D428F" w:rsidRPr="004B6CCC">
        <w:t xml:space="preserve"> match</w:t>
      </w:r>
      <w:r w:rsidR="007B528F" w:rsidRPr="004B6CCC">
        <w:t xml:space="preserve"> them</w:t>
      </w:r>
      <w:r w:rsidR="001D428F" w:rsidRPr="004B6CCC">
        <w:t xml:space="preserve"> one-by-one with the TDRA Option 1 and Option 2 in Section </w:t>
      </w:r>
      <w:r w:rsidR="001D428F" w:rsidRPr="004B6CCC">
        <w:fldChar w:fldCharType="begin"/>
      </w:r>
      <w:r w:rsidR="001D428F" w:rsidRPr="004B6CCC">
        <w:instrText xml:space="preserve"> REF _Ref68035203 \n \h </w:instrText>
      </w:r>
      <w:r w:rsidR="00720E11" w:rsidRPr="004B6CCC">
        <w:instrText xml:space="preserve"> \* MERGEFORMAT </w:instrText>
      </w:r>
      <w:r w:rsidR="001D428F" w:rsidRPr="004B6CCC">
        <w:fldChar w:fldCharType="separate"/>
      </w:r>
      <w:r w:rsidR="00340A9C" w:rsidRPr="004B6CCC">
        <w:t>2.1.1</w:t>
      </w:r>
      <w:r w:rsidR="001D428F" w:rsidRPr="004B6CCC">
        <w:fldChar w:fldCharType="end"/>
      </w:r>
      <w:r w:rsidR="001D428F" w:rsidRPr="004B6CCC">
        <w:t xml:space="preserve">. </w:t>
      </w:r>
      <w:r w:rsidR="003B7892">
        <w:t>On the other hand, we are not sure this differentiation is needed.</w:t>
      </w:r>
    </w:p>
    <w:p w14:paraId="619DE8FE" w14:textId="77777777" w:rsidR="003B7892" w:rsidRDefault="003B7892" w:rsidP="00CF1B6F">
      <w:pPr>
        <w:spacing w:line="276" w:lineRule="auto"/>
        <w:jc w:val="both"/>
      </w:pPr>
      <w:r>
        <w:t>Indeed, if we assume the adoption of</w:t>
      </w:r>
      <w:r w:rsidR="001B26F9" w:rsidRPr="004B6CCC">
        <w:t xml:space="preserve"> TDRA Option 1,</w:t>
      </w:r>
      <w:r>
        <w:t xml:space="preserve"> then </w:t>
      </w:r>
      <w:r w:rsidR="001B26F9" w:rsidRPr="004B6CCC">
        <w:t xml:space="preserve">the number of allocated symbols </w:t>
      </w:r>
      <w:r>
        <w:t xml:space="preserve">for </w:t>
      </w:r>
      <w:proofErr w:type="spellStart"/>
      <w:r>
        <w:t>TBoMS</w:t>
      </w:r>
      <w:proofErr w:type="spellEnd"/>
      <w:r>
        <w:t xml:space="preserve"> </w:t>
      </w:r>
      <w:r w:rsidR="001B26F9" w:rsidRPr="004B6CCC">
        <w:t>is the same in each slot</w:t>
      </w:r>
      <w:r>
        <w:t>. Then it would seem reasonable to assume</w:t>
      </w:r>
      <w:r w:rsidR="00526BC6" w:rsidRPr="004B6CCC">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r>
          <w:rPr>
            <w:rFonts w:ascii="Cambria Math" w:hAnsi="Cambria Math"/>
          </w:rPr>
          <m:t xml:space="preserve"> </m:t>
        </m:r>
      </m:oMath>
      <w:r w:rsidR="00526BC6" w:rsidRPr="004B6CCC">
        <w:t>to be the same for all the slots over which the TBoMS transmission is allocated</w:t>
      </w:r>
      <w:r>
        <w:t xml:space="preserve">, as per Option 1 for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00526BC6" w:rsidRPr="004B6CCC">
        <w:t xml:space="preserve">. </w:t>
      </w:r>
      <w:r>
        <w:t xml:space="preserve">Conversely, if we assume the adoption of </w:t>
      </w:r>
      <w:r w:rsidR="00526BC6" w:rsidRPr="004B6CCC">
        <w:t>TDRA Option 2,</w:t>
      </w:r>
      <w:r>
        <w:t xml:space="preserve"> then</w:t>
      </w:r>
      <w:r w:rsidR="00526BC6" w:rsidRPr="004B6CCC">
        <w:t xml:space="preserve"> the number of allocated symbols in each slot c</w:t>
      </w:r>
      <w:r>
        <w:t>ould</w:t>
      </w:r>
      <w:r w:rsidR="00526BC6" w:rsidRPr="004B6CCC">
        <w:t xml:space="preserve"> be different</w:t>
      </w:r>
      <w:r>
        <w:t>. In this case,</w:t>
      </w:r>
      <w:r w:rsidR="00AA7D4E" w:rsidRPr="004B6CCC">
        <w:t xml:space="preserve"> then</w:t>
      </w:r>
      <w:r w:rsidR="00526BC6" w:rsidRPr="004B6CCC">
        <w:t xml:space="preserve"> </w:t>
      </w:r>
      <w:r w:rsidR="007B3277" w:rsidRPr="004B6CCC">
        <w:t xml:space="preserve">Option 2 for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r>
          <w:rPr>
            <w:rFonts w:ascii="Cambria Math" w:hAnsi="Cambria Math"/>
          </w:rPr>
          <m:t xml:space="preserve"> </m:t>
        </m:r>
      </m:oMath>
      <w:r w:rsidR="007B3277" w:rsidRPr="004B6CCC">
        <w:t xml:space="preserve">calculation </w:t>
      </w:r>
      <w:r>
        <w:t>would seem</w:t>
      </w:r>
      <w:r w:rsidR="007B3277" w:rsidRPr="004B6CCC">
        <w:t xml:space="preserve"> more suitable. </w:t>
      </w:r>
    </w:p>
    <w:p w14:paraId="6DA4C4F9" w14:textId="77777777" w:rsidR="00E3028C" w:rsidRDefault="007B528F" w:rsidP="00CF1B6F">
      <w:pPr>
        <w:spacing w:line="276" w:lineRule="auto"/>
        <w:jc w:val="both"/>
      </w:pPr>
      <w:r w:rsidRPr="004B6CCC">
        <w:t xml:space="preserve">However, </w:t>
      </w:r>
      <w:r w:rsidR="003B7892">
        <w:t xml:space="preserve">if we focus on the actual wording of both Options, we notice that </w:t>
      </w:r>
    </w:p>
    <w:p w14:paraId="1BB7CE6A" w14:textId="141F167D" w:rsidR="00E3028C" w:rsidRDefault="00E3028C" w:rsidP="002B2E66">
      <w:pPr>
        <w:pStyle w:val="ListParagraph"/>
      </w:pPr>
      <w:proofErr w:type="spellStart"/>
      <w:r>
        <w:t>Both</w:t>
      </w:r>
      <w:proofErr w:type="spellEnd"/>
      <w:r>
        <w:t xml:space="preserve"> </w:t>
      </w:r>
      <w:proofErr w:type="spellStart"/>
      <w:r>
        <w:t>Options</w:t>
      </w:r>
      <w:proofErr w:type="spellEnd"/>
      <w:r>
        <w:t xml:space="preserve"> </w:t>
      </w:r>
      <w:proofErr w:type="spellStart"/>
      <w:r>
        <w:t>refer</w:t>
      </w:r>
      <w:proofErr w:type="spellEnd"/>
      <w:r>
        <w:t xml:space="preserve"> to </w:t>
      </w:r>
      <w:proofErr w:type="spellStart"/>
      <w:r>
        <w:t>the</w:t>
      </w:r>
      <w:proofErr w:type="spellEnd"/>
      <w:r>
        <w:t xml:space="preserve"> </w:t>
      </w:r>
      <w:proofErr w:type="spellStart"/>
      <w:r>
        <w:t>slots</w:t>
      </w:r>
      <w:proofErr w:type="spellEnd"/>
      <w:r>
        <w:t xml:space="preserve"> </w:t>
      </w:r>
      <w:proofErr w:type="spellStart"/>
      <w:r>
        <w:t>over</w:t>
      </w:r>
      <w:proofErr w:type="spellEnd"/>
      <w:r>
        <w:t xml:space="preserve"> </w:t>
      </w:r>
      <w:proofErr w:type="spellStart"/>
      <w:r>
        <w:t>which</w:t>
      </w:r>
      <w:proofErr w:type="spellEnd"/>
      <w:r w:rsidRPr="004B6CCC">
        <w:t xml:space="preserve"> </w:t>
      </w:r>
      <w:proofErr w:type="spellStart"/>
      <w:r w:rsidRPr="004B6CCC">
        <w:t>the</w:t>
      </w:r>
      <w:proofErr w:type="spellEnd"/>
      <w:r w:rsidRPr="004B6CCC">
        <w:t xml:space="preserve"> </w:t>
      </w:r>
      <w:proofErr w:type="spellStart"/>
      <w:r w:rsidRPr="004B6CCC">
        <w:t>TBoMS</w:t>
      </w:r>
      <w:proofErr w:type="spellEnd"/>
      <w:r w:rsidRPr="004B6CCC">
        <w:t xml:space="preserve"> transmission is </w:t>
      </w:r>
      <w:proofErr w:type="spellStart"/>
      <w:r w:rsidRPr="004B6CCC">
        <w:t>allocated</w:t>
      </w:r>
      <w:proofErr w:type="spellEnd"/>
      <w:r w:rsidRPr="004B6CCC">
        <w:t>.</w:t>
      </w:r>
    </w:p>
    <w:p w14:paraId="7F8DEA6F" w14:textId="6DE8EC22" w:rsidR="003B7892" w:rsidRDefault="007B528F" w:rsidP="002B2E66">
      <w:pPr>
        <w:pStyle w:val="ListParagraph"/>
      </w:pPr>
      <w:r w:rsidRPr="004B6CCC">
        <w:t xml:space="preserve">Option 2 for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003B7892">
        <w:t xml:space="preserve"> </w:t>
      </w:r>
      <w:proofErr w:type="spellStart"/>
      <w:r w:rsidR="003B7892">
        <w:t>includes</w:t>
      </w:r>
      <w:proofErr w:type="spellEnd"/>
      <w:r w:rsidR="003B7892">
        <w:t xml:space="preserve"> </w:t>
      </w:r>
      <w:proofErr w:type="spellStart"/>
      <w:r w:rsidR="003B7892">
        <w:t>the</w:t>
      </w:r>
      <w:proofErr w:type="spellEnd"/>
      <w:r w:rsidR="003B7892">
        <w:t xml:space="preserve"> </w:t>
      </w:r>
      <w:proofErr w:type="spellStart"/>
      <w:r w:rsidR="003B7892">
        <w:t>use</w:t>
      </w:r>
      <w:proofErr w:type="spellEnd"/>
      <w:r w:rsidR="003B7892">
        <w:t xml:space="preserve"> of “</w:t>
      </w:r>
      <w:proofErr w:type="spellStart"/>
      <w:r w:rsidR="003B7892">
        <w:t>symbols</w:t>
      </w:r>
      <w:proofErr w:type="spellEnd"/>
      <w:r w:rsidR="003B7892">
        <w:t xml:space="preserve"> </w:t>
      </w:r>
      <w:proofErr w:type="spellStart"/>
      <w:r w:rsidR="003B7892">
        <w:t>or</w:t>
      </w:r>
      <w:proofErr w:type="spellEnd"/>
      <w:r w:rsidR="003B7892">
        <w:t xml:space="preserve"> </w:t>
      </w:r>
      <w:proofErr w:type="spellStart"/>
      <w:r w:rsidR="003B7892">
        <w:t>slots</w:t>
      </w:r>
      <w:proofErr w:type="spellEnd"/>
      <w:r w:rsidR="003B7892">
        <w:t xml:space="preserve">” to </w:t>
      </w:r>
      <w:proofErr w:type="spellStart"/>
      <w:r w:rsidR="003B7892">
        <w:t>calculate</w:t>
      </w:r>
      <w:proofErr w:type="spellEnd"/>
      <w:r w:rsidR="003B7892">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003B7892" w:rsidRPr="004B6CCC">
        <w:t xml:space="preserve">. </w:t>
      </w:r>
    </w:p>
    <w:p w14:paraId="3899C4B7" w14:textId="3C36DA1B" w:rsidR="00E3028C" w:rsidRDefault="00E3028C" w:rsidP="00CF1B6F">
      <w:pPr>
        <w:spacing w:line="276" w:lineRule="auto"/>
        <w:jc w:val="both"/>
      </w:pPr>
      <w:r>
        <w:rPr>
          <w:iCs/>
          <w:szCs w:val="22"/>
          <w:lang w:eastAsia="ko-KR"/>
        </w:rPr>
        <w:t>Now, according to legacy operations,</w:t>
      </w:r>
      <w:r w:rsidR="007B528F" w:rsidRPr="004B6CCC">
        <w:rPr>
          <w:iCs/>
          <w:szCs w:val="22"/>
          <w:lang w:eastAsia="ko-KR"/>
        </w:rPr>
        <w:t xml:space="preserve"> </w:t>
      </w:r>
      <w:proofErr w:type="spellStart"/>
      <w:r w:rsidR="007B528F" w:rsidRPr="004B6CCC">
        <w:rPr>
          <w:i/>
          <w:szCs w:val="22"/>
          <w:lang w:eastAsia="ko-KR"/>
        </w:rPr>
        <w:t>xOverhead</w:t>
      </w:r>
      <w:proofErr w:type="spellEnd"/>
      <w:r w:rsidR="007B528F" w:rsidRPr="004B6CCC">
        <w:rPr>
          <w:iCs/>
          <w:szCs w:val="22"/>
          <w:lang w:eastAsia="ko-KR"/>
        </w:rPr>
        <w:t xml:space="preserve"> is configured per slot</w:t>
      </w:r>
      <w:r>
        <w:rPr>
          <w:iCs/>
          <w:szCs w:val="22"/>
          <w:lang w:eastAsia="ko-KR"/>
        </w:rPr>
        <w:t xml:space="preserve">. Hence, regardless of the TDRA option which RAN1 will agree upon, this value </w:t>
      </w:r>
      <w:r w:rsidR="007B528F" w:rsidRPr="004B6CCC">
        <w:rPr>
          <w:iCs/>
          <w:szCs w:val="22"/>
          <w:lang w:eastAsia="ko-KR"/>
        </w:rPr>
        <w:t>should al</w:t>
      </w:r>
      <w:r>
        <w:rPr>
          <w:iCs/>
          <w:szCs w:val="22"/>
          <w:lang w:eastAsia="ko-KR"/>
        </w:rPr>
        <w:t>ways</w:t>
      </w:r>
      <w:r w:rsidR="007B528F" w:rsidRPr="004B6CCC">
        <w:rPr>
          <w:iCs/>
          <w:szCs w:val="22"/>
          <w:lang w:eastAsia="ko-KR"/>
        </w:rPr>
        <w:t xml:space="preserve"> be scaled to account for the overhead o</w:t>
      </w:r>
      <w:r>
        <w:rPr>
          <w:iCs/>
          <w:szCs w:val="22"/>
          <w:lang w:eastAsia="ko-KR"/>
        </w:rPr>
        <w:t>ver</w:t>
      </w:r>
      <w:r w:rsidR="007B528F" w:rsidRPr="004B6CCC">
        <w:rPr>
          <w:iCs/>
          <w:szCs w:val="22"/>
          <w:lang w:eastAsia="ko-KR"/>
        </w:rPr>
        <w:t xml:space="preserve"> multiple slots</w:t>
      </w:r>
      <w:r>
        <w:rPr>
          <w:iCs/>
          <w:szCs w:val="22"/>
          <w:lang w:eastAsia="ko-KR"/>
        </w:rPr>
        <w:t xml:space="preserve"> (either by the number of slots, as per Option 1 for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iCs/>
          <w:szCs w:val="22"/>
          <w:lang w:eastAsia="ko-KR"/>
        </w:rPr>
        <w:t>, or by the number symbols/slots</w:t>
      </w:r>
      <w:r w:rsidR="007B528F" w:rsidRPr="004B6CCC">
        <w:rPr>
          <w:iCs/>
          <w:szCs w:val="22"/>
          <w:lang w:eastAsia="ko-KR"/>
        </w:rPr>
        <w:t>,</w:t>
      </w:r>
      <w:r>
        <w:rPr>
          <w:iCs/>
          <w:szCs w:val="22"/>
          <w:lang w:eastAsia="ko-KR"/>
        </w:rPr>
        <w:t xml:space="preserve"> as per Option 2 for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t xml:space="preserve">). </w:t>
      </w:r>
      <w:r w:rsidR="00147B99">
        <w:rPr>
          <w:iCs/>
          <w:szCs w:val="22"/>
          <w:lang w:eastAsia="ko-KR"/>
        </w:rPr>
        <w:t>In other words</w:t>
      </w:r>
      <w:r w:rsidR="007B528F" w:rsidRPr="004B6CCC">
        <w:rPr>
          <w:iCs/>
          <w:szCs w:val="22"/>
          <w:lang w:eastAsia="ko-KR"/>
        </w:rPr>
        <w:t xml:space="preserve">, </w:t>
      </w:r>
      <w:r w:rsidR="003420F4" w:rsidRPr="004B6CCC">
        <w:rPr>
          <w:iCs/>
          <w:szCs w:val="22"/>
          <w:lang w:eastAsia="ko-KR"/>
        </w:rPr>
        <w:t xml:space="preserve">even with TDRA Option 1, </w:t>
      </w:r>
      <w:proofErr w:type="spellStart"/>
      <w:r w:rsidR="003420F4" w:rsidRPr="004B6CCC">
        <w:rPr>
          <w:i/>
          <w:szCs w:val="22"/>
          <w:lang w:eastAsia="ko-KR"/>
        </w:rPr>
        <w:t>xOverhead</w:t>
      </w:r>
      <w:proofErr w:type="spellEnd"/>
      <w:r w:rsidR="003420F4" w:rsidRPr="004B6CCC">
        <w:rPr>
          <w:iCs/>
          <w:szCs w:val="22"/>
          <w:lang w:eastAsia="ko-KR"/>
        </w:rPr>
        <w:t xml:space="preserve"> still need</w:t>
      </w:r>
      <w:r w:rsidR="00F8456D">
        <w:rPr>
          <w:iCs/>
          <w:szCs w:val="22"/>
          <w:lang w:eastAsia="ko-KR"/>
        </w:rPr>
        <w:t>s</w:t>
      </w:r>
      <w:r w:rsidR="003420F4" w:rsidRPr="004B6CCC">
        <w:rPr>
          <w:iCs/>
          <w:szCs w:val="22"/>
          <w:lang w:eastAsia="ko-KR"/>
        </w:rPr>
        <w:t xml:space="preserve"> to be scaled</w:t>
      </w:r>
      <w:r w:rsidR="00E7323D" w:rsidRPr="004B6CCC">
        <w:rPr>
          <w:iCs/>
          <w:szCs w:val="22"/>
          <w:lang w:eastAsia="ko-KR"/>
        </w:rPr>
        <w:t xml:space="preserve"> </w:t>
      </w:r>
      <w:r w:rsidR="003420F4" w:rsidRPr="004B6CCC">
        <w:rPr>
          <w:iCs/>
          <w:szCs w:val="22"/>
          <w:lang w:eastAsia="ko-KR"/>
        </w:rPr>
        <w:t>by</w:t>
      </w:r>
      <w:r w:rsidR="006A5010">
        <w:rPr>
          <w:iCs/>
          <w:szCs w:val="22"/>
          <w:lang w:eastAsia="ko-KR"/>
        </w:rPr>
        <w:t>, e.g.,</w:t>
      </w:r>
      <w:r w:rsidR="003420F4" w:rsidRPr="004B6CCC">
        <w:rPr>
          <w:iCs/>
          <w:szCs w:val="22"/>
          <w:lang w:eastAsia="ko-KR"/>
        </w:rPr>
        <w:t xml:space="preserve"> the number of slots</w:t>
      </w:r>
      <w:r w:rsidR="006A5010">
        <w:rPr>
          <w:iCs/>
          <w:szCs w:val="22"/>
          <w:lang w:eastAsia="ko-KR"/>
        </w:rPr>
        <w:t xml:space="preserve"> used for</w:t>
      </w:r>
      <w:r w:rsidR="003420F4" w:rsidRPr="004B6CCC">
        <w:rPr>
          <w:iCs/>
          <w:szCs w:val="22"/>
          <w:lang w:eastAsia="ko-KR"/>
        </w:rPr>
        <w:t xml:space="preserve"> calculatin</w:t>
      </w:r>
      <w:r w:rsidR="006A5010">
        <w:rPr>
          <w:iCs/>
          <w:szCs w:val="22"/>
          <w:lang w:eastAsia="ko-KR"/>
        </w:rPr>
        <w:t xml:space="preserve">g </w:t>
      </w:r>
      <m:oMath>
        <m:sSubSup>
          <m:sSubSupPr>
            <m:ctrlPr>
              <w:rPr>
                <w:rFonts w:ascii="Cambria Math" w:hAnsi="Cambria Math"/>
                <w:i/>
                <w:iCs/>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oMath>
      <w:r w:rsidR="003420F4" w:rsidRPr="004B6CCC">
        <w:rPr>
          <w:iCs/>
          <w:lang w:eastAsia="ko-KR"/>
        </w:rPr>
        <w:t xml:space="preserve"> for TBoMS, </w:t>
      </w:r>
      <w:r w:rsidR="00147B99">
        <w:rPr>
          <w:iCs/>
          <w:lang w:eastAsia="ko-KR"/>
        </w:rPr>
        <w:t xml:space="preserve">i.e., </w:t>
      </w:r>
      <w:r w:rsidR="003420F4" w:rsidRPr="004B6CCC">
        <w:rPr>
          <w:iCs/>
          <w:lang w:eastAsia="ko-KR"/>
        </w:rPr>
        <w:t>“</w:t>
      </w:r>
      <m:oMath>
        <m:sSubSup>
          <m:sSubSupPr>
            <m:ctrlPr>
              <w:rPr>
                <w:rFonts w:ascii="Cambria Math" w:hAnsi="Cambria Math"/>
                <w:bCs/>
                <w:i/>
                <w:iCs/>
                <w:szCs w:val="22"/>
              </w:rPr>
            </m:ctrlPr>
          </m:sSubSupPr>
          <m:e>
            <m:r>
              <w:rPr>
                <w:rFonts w:ascii="Cambria Math" w:hAnsi="Cambria Math"/>
                <w:szCs w:val="22"/>
              </w:rPr>
              <m:t>N</m:t>
            </m:r>
          </m:e>
          <m:sub>
            <m:r>
              <w:rPr>
                <w:rFonts w:ascii="Cambria Math" w:hAnsi="Cambria Math"/>
                <w:szCs w:val="22"/>
              </w:rPr>
              <m:t>oh</m:t>
            </m:r>
          </m:sub>
          <m:sup>
            <m:r>
              <w:rPr>
                <w:rFonts w:ascii="Cambria Math" w:hAnsi="Cambria Math"/>
                <w:szCs w:val="22"/>
              </w:rPr>
              <m:t>PRB</m:t>
            </m:r>
          </m:sup>
        </m:sSubSup>
      </m:oMath>
      <w:r w:rsidR="003420F4" w:rsidRPr="004B6CCC">
        <w:rPr>
          <w:i/>
          <w:iCs/>
        </w:rPr>
        <w:t xml:space="preserve"> should be calculated depending on both </w:t>
      </w:r>
      <w:proofErr w:type="spellStart"/>
      <w:r w:rsidR="003420F4" w:rsidRPr="004B6CCC">
        <w:rPr>
          <w:i/>
          <w:iCs/>
        </w:rPr>
        <w:t>xOverhead</w:t>
      </w:r>
      <w:proofErr w:type="spellEnd"/>
      <w:r w:rsidR="003420F4" w:rsidRPr="004B6CCC">
        <w:rPr>
          <w:i/>
          <w:iCs/>
        </w:rPr>
        <w:t xml:space="preserve"> and the number of symbols or slots</w:t>
      </w:r>
      <w:r w:rsidR="003420F4" w:rsidRPr="004B6CCC">
        <w:t xml:space="preserve">”. </w:t>
      </w:r>
    </w:p>
    <w:p w14:paraId="7884FCCF" w14:textId="0E0E5ECC" w:rsidR="00E21C34" w:rsidRDefault="00E3028C" w:rsidP="00CF1B6F">
      <w:pPr>
        <w:spacing w:line="276" w:lineRule="auto"/>
        <w:jc w:val="both"/>
      </w:pPr>
      <w:r>
        <w:t xml:space="preserve">Consequently, it can be argued that Option 2 includes Option 1 as well. </w:t>
      </w:r>
      <w:r w:rsidR="003420F4" w:rsidRPr="004B6CCC">
        <w:t xml:space="preserve">Option 2 should </w:t>
      </w:r>
      <w:r>
        <w:t xml:space="preserve">then </w:t>
      </w:r>
      <w:r w:rsidR="003420F4" w:rsidRPr="004B6CCC">
        <w:t xml:space="preserve">be adopted for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r>
          <w:rPr>
            <w:rFonts w:ascii="Cambria Math" w:hAnsi="Cambria Math"/>
          </w:rPr>
          <m:t xml:space="preserve"> </m:t>
        </m:r>
      </m:oMath>
      <w:r w:rsidR="003420F4" w:rsidRPr="004B6CCC">
        <w:t>calculation</w:t>
      </w:r>
      <w:r>
        <w:t xml:space="preserve"> and the choice RAN1 should make is on the way </w:t>
      </w:r>
      <w:proofErr w:type="spellStart"/>
      <w:r w:rsidRPr="004B6CCC">
        <w:rPr>
          <w:i/>
          <w:szCs w:val="22"/>
          <w:lang w:eastAsia="ko-KR"/>
        </w:rPr>
        <w:t>xOverhead</w:t>
      </w:r>
      <w:proofErr w:type="spellEnd"/>
      <w:r>
        <w:rPr>
          <w:i/>
          <w:szCs w:val="22"/>
          <w:lang w:eastAsia="ko-KR"/>
        </w:rPr>
        <w:t xml:space="preserve"> </w:t>
      </w:r>
      <w:r w:rsidRPr="00E3028C">
        <w:rPr>
          <w:iCs/>
          <w:szCs w:val="22"/>
          <w:lang w:eastAsia="ko-KR"/>
        </w:rPr>
        <w:t xml:space="preserve">is </w:t>
      </w:r>
      <w:r>
        <w:rPr>
          <w:iCs/>
          <w:szCs w:val="22"/>
          <w:lang w:eastAsia="ko-KR"/>
        </w:rPr>
        <w:t xml:space="preserve">used </w:t>
      </w:r>
      <w:r w:rsidRPr="00E3028C">
        <w:rPr>
          <w:iCs/>
          <w:szCs w:val="22"/>
          <w:lang w:eastAsia="ko-KR"/>
        </w:rPr>
        <w:t>for calculating</w:t>
      </w:r>
      <w:r>
        <w:rPr>
          <w:i/>
          <w:szCs w:val="22"/>
          <w:lang w:eastAsia="ko-KR"/>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E3028C">
        <w:rPr>
          <w:iCs/>
        </w:rPr>
        <w:t xml:space="preserve">, i.e., </w:t>
      </w:r>
      <w:r>
        <w:rPr>
          <w:iCs/>
        </w:rPr>
        <w:t xml:space="preserve">either using only the number of slots (as per “former” Option 1 for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t xml:space="preserve">, and one of the two alternatives of “former” Option 2), or using only the number of symbols (as per the other alternative of “former” Option 2 for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t>).</w:t>
      </w:r>
    </w:p>
    <w:p w14:paraId="58576032" w14:textId="4554202F" w:rsidR="00E3028C" w:rsidRPr="00E3028C" w:rsidRDefault="00E3028C" w:rsidP="00CF1B6F">
      <w:pPr>
        <w:pStyle w:val="Caption"/>
        <w:spacing w:after="240"/>
        <w:jc w:val="both"/>
        <w:rPr>
          <w:bCs/>
          <w:szCs w:val="22"/>
        </w:rPr>
      </w:pPr>
      <w:bookmarkStart w:id="10" w:name="_Toc68630591"/>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945AF9">
        <w:rPr>
          <w:noProof/>
          <w:szCs w:val="22"/>
        </w:rPr>
        <w:t>6</w:t>
      </w:r>
      <w:r w:rsidRPr="00B066E0">
        <w:rPr>
          <w:szCs w:val="22"/>
        </w:rPr>
        <w:fldChar w:fldCharType="end"/>
      </w:r>
      <w:r w:rsidRPr="00B066E0">
        <w:rPr>
          <w:szCs w:val="22"/>
        </w:rPr>
        <w:t xml:space="preserve">. </w:t>
      </w:r>
      <w:r w:rsidRPr="005B4EFF">
        <w:rPr>
          <w:bCs/>
          <w:szCs w:val="22"/>
        </w:rPr>
        <w:t xml:space="preserve">For </w:t>
      </w:r>
      <m:oMath>
        <m:sSubSup>
          <m:sSubSupPr>
            <m:ctrlPr>
              <w:rPr>
                <w:rFonts w:ascii="Cambria Math" w:hAnsi="Cambria Math"/>
                <w:bCs/>
                <w:i/>
                <w:iCs/>
                <w:szCs w:val="22"/>
              </w:rPr>
            </m:ctrlPr>
          </m:sSubSupPr>
          <m:e>
            <m:r>
              <m:rPr>
                <m:sty m:val="bi"/>
              </m:rPr>
              <w:rPr>
                <w:rFonts w:ascii="Cambria Math" w:hAnsi="Cambria Math"/>
                <w:szCs w:val="22"/>
              </w:rPr>
              <m:t>N</m:t>
            </m:r>
          </m:e>
          <m:sub>
            <m:r>
              <m:rPr>
                <m:sty m:val="bi"/>
              </m:rPr>
              <w:rPr>
                <w:rFonts w:ascii="Cambria Math" w:hAnsi="Cambria Math"/>
                <w:szCs w:val="22"/>
              </w:rPr>
              <m:t>oh</m:t>
            </m:r>
          </m:sub>
          <m:sup>
            <m:r>
              <m:rPr>
                <m:sty m:val="bi"/>
              </m:rPr>
              <w:rPr>
                <w:rFonts w:ascii="Cambria Math" w:hAnsi="Cambria Math"/>
                <w:szCs w:val="22"/>
              </w:rPr>
              <m:t>PRB</m:t>
            </m:r>
          </m:sup>
        </m:sSubSup>
        <m:r>
          <m:rPr>
            <m:sty m:val="b"/>
          </m:rPr>
          <w:rPr>
            <w:rFonts w:ascii="Cambria Math" w:hAnsi="Cambria Math"/>
            <w:szCs w:val="22"/>
          </w:rPr>
          <m:t xml:space="preserve"> </m:t>
        </m:r>
      </m:oMath>
      <w:r w:rsidRPr="005B4EFF">
        <w:rPr>
          <w:bCs/>
          <w:szCs w:val="22"/>
        </w:rPr>
        <w:t>calculation for TBoMS,</w:t>
      </w:r>
      <w:r>
        <w:rPr>
          <w:bCs/>
          <w:szCs w:val="22"/>
        </w:rPr>
        <w:t xml:space="preserve"> consider only Option 2, which also includes Option 1 (if the number of slots is used together with </w:t>
      </w:r>
      <w:proofErr w:type="spellStart"/>
      <w:r w:rsidRPr="00E3028C">
        <w:rPr>
          <w:bCs/>
          <w:i/>
          <w:iCs/>
          <w:szCs w:val="22"/>
        </w:rPr>
        <w:t>xOverhead</w:t>
      </w:r>
      <w:proofErr w:type="spellEnd"/>
      <w:r>
        <w:rPr>
          <w:bCs/>
          <w:szCs w:val="22"/>
        </w:rPr>
        <w:t xml:space="preserve"> to calculate </w:t>
      </w:r>
      <m:oMath>
        <m:sSubSup>
          <m:sSubSupPr>
            <m:ctrlPr>
              <w:rPr>
                <w:rFonts w:ascii="Cambria Math" w:hAnsi="Cambria Math"/>
                <w:bCs/>
                <w:i/>
                <w:iCs/>
                <w:szCs w:val="22"/>
              </w:rPr>
            </m:ctrlPr>
          </m:sSubSupPr>
          <m:e>
            <m:r>
              <m:rPr>
                <m:sty m:val="bi"/>
              </m:rPr>
              <w:rPr>
                <w:rFonts w:ascii="Cambria Math" w:hAnsi="Cambria Math"/>
                <w:szCs w:val="22"/>
              </w:rPr>
              <m:t>N</m:t>
            </m:r>
          </m:e>
          <m:sub>
            <m:r>
              <m:rPr>
                <m:sty m:val="bi"/>
              </m:rPr>
              <w:rPr>
                <w:rFonts w:ascii="Cambria Math" w:hAnsi="Cambria Math"/>
                <w:szCs w:val="22"/>
              </w:rPr>
              <m:t>oh</m:t>
            </m:r>
          </m:sub>
          <m:sup>
            <m:r>
              <m:rPr>
                <m:sty m:val="bi"/>
              </m:rPr>
              <w:rPr>
                <w:rFonts w:ascii="Cambria Math" w:hAnsi="Cambria Math"/>
                <w:szCs w:val="22"/>
              </w:rPr>
              <m:t>PRB</m:t>
            </m:r>
          </m:sup>
        </m:sSubSup>
      </m:oMath>
      <w:r>
        <w:rPr>
          <w:bCs/>
          <w:szCs w:val="22"/>
        </w:rPr>
        <w:t>),</w:t>
      </w:r>
      <w:r w:rsidRPr="005B4EFF">
        <w:rPr>
          <w:bCs/>
          <w:szCs w:val="22"/>
        </w:rPr>
        <w:t xml:space="preserve"> </w:t>
      </w:r>
      <w:r>
        <w:rPr>
          <w:bCs/>
          <w:szCs w:val="22"/>
        </w:rPr>
        <w:t xml:space="preserve">and focus the discussion on whether the number of slots or symbols should be used to calculate </w:t>
      </w:r>
      <m:oMath>
        <m:sSubSup>
          <m:sSubSupPr>
            <m:ctrlPr>
              <w:rPr>
                <w:rFonts w:ascii="Cambria Math" w:hAnsi="Cambria Math"/>
                <w:bCs/>
                <w:i/>
                <w:iCs/>
                <w:szCs w:val="22"/>
              </w:rPr>
            </m:ctrlPr>
          </m:sSubSupPr>
          <m:e>
            <m:r>
              <m:rPr>
                <m:sty m:val="bi"/>
              </m:rPr>
              <w:rPr>
                <w:rFonts w:ascii="Cambria Math" w:hAnsi="Cambria Math"/>
                <w:szCs w:val="22"/>
              </w:rPr>
              <m:t>N</m:t>
            </m:r>
          </m:e>
          <m:sub>
            <m:r>
              <m:rPr>
                <m:sty m:val="bi"/>
              </m:rPr>
              <w:rPr>
                <w:rFonts w:ascii="Cambria Math" w:hAnsi="Cambria Math"/>
                <w:szCs w:val="22"/>
              </w:rPr>
              <m:t>oh</m:t>
            </m:r>
          </m:sub>
          <m:sup>
            <m:r>
              <m:rPr>
                <m:sty m:val="bi"/>
              </m:rPr>
              <w:rPr>
                <w:rFonts w:ascii="Cambria Math" w:hAnsi="Cambria Math"/>
                <w:szCs w:val="22"/>
              </w:rPr>
              <m:t>PRB</m:t>
            </m:r>
          </m:sup>
        </m:sSubSup>
      </m:oMath>
      <w:r w:rsidRPr="005B4EFF">
        <w:rPr>
          <w:bCs/>
          <w:szCs w:val="22"/>
        </w:rPr>
        <w:t>.</w:t>
      </w:r>
      <w:bookmarkEnd w:id="10"/>
    </w:p>
    <w:p w14:paraId="5B439457" w14:textId="20E632E3" w:rsidR="00E7323D" w:rsidRPr="004B6CCC" w:rsidRDefault="003961A7" w:rsidP="00CF1B6F">
      <w:pPr>
        <w:spacing w:line="276" w:lineRule="auto"/>
        <w:jc w:val="both"/>
        <w:rPr>
          <w:b/>
          <w:bCs/>
          <w:lang w:eastAsia="zh-CN"/>
        </w:rPr>
      </w:pPr>
      <w:r>
        <w:t xml:space="preserve">As we discussed in Section 2.1.1, our preference for time domain resource determination for </w:t>
      </w:r>
      <w:proofErr w:type="spellStart"/>
      <w:r>
        <w:t>TBoMS</w:t>
      </w:r>
      <w:proofErr w:type="spellEnd"/>
      <w:r>
        <w:t xml:space="preserve"> is </w:t>
      </w:r>
      <w:r w:rsidRPr="004B6CCC">
        <w:t>TDRA Option 2</w:t>
      </w:r>
      <w:r>
        <w:t xml:space="preserve">. We then propose a </w:t>
      </w:r>
      <w:r w:rsidR="00E7323D" w:rsidRPr="004B6CCC">
        <w:t xml:space="preserve">simple way to calculate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00E7323D" w:rsidRPr="004B6CCC">
        <w:t xml:space="preserve"> for</w:t>
      </w:r>
      <w:r>
        <w:t xml:space="preserve"> this TDRA option, for consistency in the following. Such simple approach</w:t>
      </w:r>
      <w:r w:rsidR="00E7323D" w:rsidRPr="004B6CCC">
        <w:t xml:space="preserve"> </w:t>
      </w:r>
      <w:r>
        <w:t>would be</w:t>
      </w:r>
      <w:r w:rsidR="00E7323D" w:rsidRPr="004B6CCC">
        <w:t xml:space="preserve"> to consider that the overhead </w:t>
      </w:r>
      <w:r>
        <w:t xml:space="preserve">for </w:t>
      </w:r>
      <w:proofErr w:type="spellStart"/>
      <w:r>
        <w:t>TBoMS</w:t>
      </w:r>
      <w:proofErr w:type="spellEnd"/>
      <w:r>
        <w:t xml:space="preserve"> </w:t>
      </w:r>
      <w:r w:rsidR="00E7323D" w:rsidRPr="004B6CCC">
        <w:t xml:space="preserve">is counted for the allocated </w:t>
      </w:r>
      <w:proofErr w:type="spellStart"/>
      <w:r w:rsidR="00E7323D" w:rsidRPr="004B6CCC">
        <w:t>REs.</w:t>
      </w:r>
      <w:proofErr w:type="spellEnd"/>
      <w:r w:rsidR="00E7323D" w:rsidRPr="004B6CCC">
        <w:t xml:space="preserve"> A natural consequence would then be to associate it with the actual number of PUSCH symbols that are allocated for multi-slot TB transmission, which </w:t>
      </w:r>
      <w:r>
        <w:t>may</w:t>
      </w:r>
      <w:r w:rsidR="00E7323D" w:rsidRPr="004B6CCC">
        <w:t xml:space="preserve"> also be alternatively represented in actual number of slots allocated for multi-slot TB transmission. Suitable scaling of</w:t>
      </w:r>
      <w:r w:rsidR="00E7323D" w:rsidRPr="004B6CCC">
        <w:rPr>
          <w:i/>
          <w:iCs/>
        </w:rPr>
        <w:t xml:space="preserve"> </w:t>
      </w:r>
      <w:proofErr w:type="spellStart"/>
      <w:r w:rsidR="00E7323D" w:rsidRPr="004B6CCC">
        <w:rPr>
          <w:i/>
          <w:iCs/>
        </w:rPr>
        <w:t>xOverhead</w:t>
      </w:r>
      <w:proofErr w:type="spellEnd"/>
      <w:r w:rsidR="00E7323D" w:rsidRPr="004B6CCC">
        <w:rPr>
          <w:i/>
          <w:iCs/>
        </w:rPr>
        <w:t xml:space="preserve"> </w:t>
      </w:r>
      <w:r w:rsidR="00E7323D" w:rsidRPr="004B6CCC">
        <w:t xml:space="preserve">with the resources allocated to the multi-slot TB transmission could be identified. For example, one can configure </w:t>
      </w:r>
      <w:proofErr w:type="spellStart"/>
      <w:r w:rsidR="00E7323D" w:rsidRPr="004B6CCC">
        <w:rPr>
          <w:i/>
          <w:iCs/>
        </w:rPr>
        <w:t>xOverhead</w:t>
      </w:r>
      <w:proofErr w:type="spellEnd"/>
      <w:r w:rsidR="00E7323D" w:rsidRPr="004B6CCC">
        <w:rPr>
          <w:i/>
          <w:iCs/>
        </w:rPr>
        <w:t xml:space="preserve"> </w:t>
      </w:r>
      <w:r w:rsidR="00E7323D" w:rsidRPr="004B6CCC">
        <w:t xml:space="preserve">for 14 symbols, then the total number of allocated symbols for </w:t>
      </w:r>
      <w:proofErr w:type="spellStart"/>
      <w:r w:rsidR="00E7323D" w:rsidRPr="004B6CCC">
        <w:t>TBoMS</w:t>
      </w:r>
      <w:proofErr w:type="spellEnd"/>
      <w:r w:rsidR="00E7323D" w:rsidRPr="004B6CCC">
        <w:t xml:space="preserve"> is divided by 14, </w:t>
      </w:r>
      <w:r w:rsidR="00147B99">
        <w:t xml:space="preserve">and </w:t>
      </w:r>
      <w:r w:rsidR="00E7323D" w:rsidRPr="004B6CCC">
        <w:t xml:space="preserve">the result is then used to scale the configured </w:t>
      </w:r>
      <w:proofErr w:type="spellStart"/>
      <w:r w:rsidR="00E7323D" w:rsidRPr="004B6CCC">
        <w:t>xOverhead</w:t>
      </w:r>
      <w:proofErr w:type="spellEnd"/>
      <w:r w:rsidR="00E7323D" w:rsidRPr="004B6CCC">
        <w:t xml:space="preserve"> and achieve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00E7323D" w:rsidRPr="004B6CCC">
        <w:t xml:space="preserve">. Alternatively, different values of </w:t>
      </w:r>
      <w:proofErr w:type="spellStart"/>
      <w:r w:rsidR="00E7323D" w:rsidRPr="004B6CCC">
        <w:rPr>
          <w:i/>
          <w:iCs/>
          <w:lang w:eastAsia="zh-CN"/>
        </w:rPr>
        <w:t>xOverhead</w:t>
      </w:r>
      <w:proofErr w:type="spellEnd"/>
      <w:r w:rsidR="00E7323D" w:rsidRPr="004B6CCC">
        <w:rPr>
          <w:lang w:eastAsia="zh-CN"/>
        </w:rPr>
        <w:t xml:space="preserve"> could be defined and configured for different number of actual PUSCH symbols/slots</w:t>
      </w:r>
      <w:r w:rsidR="00E7323D" w:rsidRPr="004B6CCC">
        <w:rPr>
          <w:b/>
          <w:bCs/>
          <w:lang w:eastAsia="zh-CN"/>
        </w:rPr>
        <w:t>.</w:t>
      </w:r>
    </w:p>
    <w:p w14:paraId="75B562B8" w14:textId="0A58CCB1" w:rsidR="005B4EFF" w:rsidRPr="00833418" w:rsidRDefault="005B4EFF" w:rsidP="00CF1B6F">
      <w:pPr>
        <w:pStyle w:val="Caption"/>
        <w:spacing w:after="240"/>
        <w:jc w:val="both"/>
        <w:rPr>
          <w:bCs/>
          <w:szCs w:val="22"/>
        </w:rPr>
      </w:pPr>
      <w:bookmarkStart w:id="11" w:name="_Toc68630592"/>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945AF9">
        <w:rPr>
          <w:noProof/>
          <w:szCs w:val="22"/>
        </w:rPr>
        <w:t>7</w:t>
      </w:r>
      <w:r w:rsidRPr="00B066E0">
        <w:rPr>
          <w:szCs w:val="22"/>
        </w:rPr>
        <w:fldChar w:fldCharType="end"/>
      </w:r>
      <w:r w:rsidRPr="00B066E0">
        <w:rPr>
          <w:szCs w:val="22"/>
        </w:rPr>
        <w:t xml:space="preserve">. </w:t>
      </w:r>
      <w:r w:rsidRPr="005B4EFF">
        <w:rPr>
          <w:bCs/>
          <w:szCs w:val="22"/>
        </w:rPr>
        <w:t xml:space="preserve">For </w:t>
      </w:r>
      <m:oMath>
        <m:sSubSup>
          <m:sSubSupPr>
            <m:ctrlPr>
              <w:rPr>
                <w:rFonts w:ascii="Cambria Math" w:hAnsi="Cambria Math"/>
                <w:bCs/>
                <w:i/>
                <w:iCs/>
                <w:szCs w:val="22"/>
              </w:rPr>
            </m:ctrlPr>
          </m:sSubSupPr>
          <m:e>
            <m:r>
              <m:rPr>
                <m:sty m:val="bi"/>
              </m:rPr>
              <w:rPr>
                <w:rFonts w:ascii="Cambria Math" w:hAnsi="Cambria Math"/>
                <w:szCs w:val="22"/>
              </w:rPr>
              <m:t>N</m:t>
            </m:r>
          </m:e>
          <m:sub>
            <m:r>
              <m:rPr>
                <m:sty m:val="bi"/>
              </m:rPr>
              <w:rPr>
                <w:rFonts w:ascii="Cambria Math" w:hAnsi="Cambria Math"/>
                <w:szCs w:val="22"/>
              </w:rPr>
              <m:t>oh</m:t>
            </m:r>
          </m:sub>
          <m:sup>
            <m:r>
              <m:rPr>
                <m:sty m:val="bi"/>
              </m:rPr>
              <w:rPr>
                <w:rFonts w:ascii="Cambria Math" w:hAnsi="Cambria Math"/>
                <w:szCs w:val="22"/>
              </w:rPr>
              <m:t>PRB</m:t>
            </m:r>
          </m:sup>
        </m:sSubSup>
        <m:r>
          <m:rPr>
            <m:sty m:val="b"/>
          </m:rPr>
          <w:rPr>
            <w:rFonts w:ascii="Cambria Math" w:hAnsi="Cambria Math"/>
            <w:szCs w:val="22"/>
          </w:rPr>
          <m:t xml:space="preserve"> </m:t>
        </m:r>
      </m:oMath>
      <w:r w:rsidRPr="005B4EFF">
        <w:rPr>
          <w:bCs/>
          <w:szCs w:val="22"/>
        </w:rPr>
        <w:t xml:space="preserve">calculation for TBoMS, </w:t>
      </w:r>
      <m:oMath>
        <m:sSubSup>
          <m:sSubSupPr>
            <m:ctrlPr>
              <w:rPr>
                <w:rFonts w:ascii="Cambria Math" w:hAnsi="Cambria Math"/>
                <w:bCs/>
                <w:i/>
                <w:iCs/>
                <w:szCs w:val="22"/>
              </w:rPr>
            </m:ctrlPr>
          </m:sSubSupPr>
          <m:e>
            <m:r>
              <m:rPr>
                <m:sty m:val="bi"/>
              </m:rPr>
              <w:rPr>
                <w:rFonts w:ascii="Cambria Math" w:hAnsi="Cambria Math"/>
                <w:szCs w:val="22"/>
              </w:rPr>
              <m:t>N</m:t>
            </m:r>
          </m:e>
          <m:sub>
            <m:r>
              <m:rPr>
                <m:sty m:val="bi"/>
              </m:rPr>
              <w:rPr>
                <w:rFonts w:ascii="Cambria Math" w:hAnsi="Cambria Math"/>
                <w:szCs w:val="22"/>
              </w:rPr>
              <m:t>oh</m:t>
            </m:r>
          </m:sub>
          <m:sup>
            <m:r>
              <m:rPr>
                <m:sty m:val="bi"/>
              </m:rPr>
              <w:rPr>
                <w:rFonts w:ascii="Cambria Math" w:hAnsi="Cambria Math"/>
                <w:szCs w:val="22"/>
              </w:rPr>
              <m:t>PRB</m:t>
            </m:r>
          </m:sup>
        </m:sSubSup>
      </m:oMath>
      <w:r w:rsidRPr="005B4EFF">
        <w:rPr>
          <w:bCs/>
          <w:szCs w:val="22"/>
        </w:rPr>
        <w:t xml:space="preserve"> is calculated depending on both </w:t>
      </w:r>
      <w:proofErr w:type="spellStart"/>
      <w:r w:rsidRPr="005B4EFF">
        <w:rPr>
          <w:bCs/>
          <w:szCs w:val="22"/>
        </w:rPr>
        <w:t>xOverhead</w:t>
      </w:r>
      <w:proofErr w:type="spellEnd"/>
      <w:r w:rsidRPr="005B4EFF">
        <w:rPr>
          <w:bCs/>
          <w:szCs w:val="22"/>
        </w:rPr>
        <w:t xml:space="preserve"> and the number of symbols over which the </w:t>
      </w:r>
      <w:proofErr w:type="spellStart"/>
      <w:r w:rsidRPr="005B4EFF">
        <w:rPr>
          <w:bCs/>
          <w:szCs w:val="22"/>
        </w:rPr>
        <w:t>TBoMS</w:t>
      </w:r>
      <w:proofErr w:type="spellEnd"/>
      <w:r w:rsidRPr="005B4EFF">
        <w:rPr>
          <w:bCs/>
          <w:szCs w:val="22"/>
        </w:rPr>
        <w:t xml:space="preserve"> transmission is allocated.</w:t>
      </w:r>
      <w:bookmarkEnd w:id="11"/>
    </w:p>
    <w:p w14:paraId="4B3024D5" w14:textId="70ABC762" w:rsidR="005665EE" w:rsidRPr="004B6CCC" w:rsidRDefault="00846800" w:rsidP="00CF1B6F">
      <w:pPr>
        <w:pStyle w:val="Heading2"/>
        <w:spacing w:before="0" w:after="120" w:line="276" w:lineRule="auto"/>
        <w:contextualSpacing/>
        <w:jc w:val="both"/>
        <w:rPr>
          <w:lang w:val="en-US"/>
        </w:rPr>
      </w:pPr>
      <w:bookmarkStart w:id="12" w:name="_Ref67993816"/>
      <w:r>
        <w:rPr>
          <w:lang w:val="en-US"/>
        </w:rPr>
        <w:lastRenderedPageBreak/>
        <w:t>Rate-matching</w:t>
      </w:r>
      <w:r w:rsidR="003D51C7" w:rsidRPr="004B6CCC">
        <w:rPr>
          <w:lang w:val="en-US"/>
        </w:rPr>
        <w:t xml:space="preserve"> the encoded bits on the resource across multiple slots</w:t>
      </w:r>
      <w:bookmarkEnd w:id="12"/>
    </w:p>
    <w:p w14:paraId="16CA737D" w14:textId="7A3C8BF2" w:rsidR="009A3772" w:rsidRPr="00677027" w:rsidRDefault="007E285C" w:rsidP="00CF1B6F">
      <w:pPr>
        <w:spacing w:after="120" w:line="276" w:lineRule="auto"/>
        <w:contextualSpacing/>
        <w:jc w:val="both"/>
      </w:pPr>
      <w:r w:rsidRPr="00677027">
        <w:t xml:space="preserve">After resource allocation procedure for </w:t>
      </w:r>
      <w:proofErr w:type="spellStart"/>
      <w:r w:rsidRPr="00677027">
        <w:t>TBoMS</w:t>
      </w:r>
      <w:proofErr w:type="spellEnd"/>
      <w:r w:rsidRPr="00677027">
        <w:t xml:space="preserve"> is defined</w:t>
      </w:r>
      <w:r w:rsidR="00583315" w:rsidRPr="00677027">
        <w:t xml:space="preserve"> and the TBS is determined based on the allocated resource, </w:t>
      </w:r>
      <w:r w:rsidR="0076037E" w:rsidRPr="00677027">
        <w:t xml:space="preserve">another key aspect that has to be defined for </w:t>
      </w:r>
      <w:proofErr w:type="spellStart"/>
      <w:r w:rsidR="0076037E" w:rsidRPr="00677027">
        <w:t>TBoMS</w:t>
      </w:r>
      <w:proofErr w:type="spellEnd"/>
      <w:r w:rsidR="0076037E" w:rsidRPr="00677027">
        <w:t xml:space="preserve"> is how to map</w:t>
      </w:r>
      <w:r w:rsidR="00537453">
        <w:t>/rate-match</w:t>
      </w:r>
      <w:r w:rsidR="0076037E" w:rsidRPr="00677027">
        <w:t xml:space="preserve"> the encoded bits on the allocated resource across multiple slots.</w:t>
      </w:r>
      <w:r w:rsidR="000000D8" w:rsidRPr="00677027">
        <w:t xml:space="preserve"> From the discussions in RAN1#104-e meeting, the following two options can be identified:</w:t>
      </w:r>
    </w:p>
    <w:p w14:paraId="0BAA2EB3" w14:textId="21ED396A" w:rsidR="000000D8" w:rsidRPr="00F50960" w:rsidRDefault="000000D8" w:rsidP="002B2E66">
      <w:pPr>
        <w:pStyle w:val="ListParagraph"/>
        <w:numPr>
          <w:ilvl w:val="0"/>
          <w:numId w:val="43"/>
        </w:numPr>
        <w:rPr>
          <w:lang w:val="en-US"/>
        </w:rPr>
      </w:pPr>
      <w:r w:rsidRPr="00F50960">
        <w:rPr>
          <w:u w:val="single"/>
          <w:lang w:val="en-US"/>
        </w:rPr>
        <w:t>Option 1</w:t>
      </w:r>
      <w:r w:rsidRPr="00F50960">
        <w:rPr>
          <w:lang w:val="en-US"/>
        </w:rPr>
        <w:t xml:space="preserve">: </w:t>
      </w:r>
      <w:r w:rsidR="004B6CCC" w:rsidRPr="00F50960">
        <w:rPr>
          <w:lang w:val="en-US"/>
        </w:rPr>
        <w:t>The</w:t>
      </w:r>
      <w:r w:rsidR="00537453" w:rsidRPr="00F50960">
        <w:rPr>
          <w:lang w:val="en-US"/>
        </w:rPr>
        <w:t xml:space="preserve"> encoded bits of the</w:t>
      </w:r>
      <w:r w:rsidR="004B6CCC" w:rsidRPr="00F50960">
        <w:rPr>
          <w:lang w:val="en-US"/>
        </w:rPr>
        <w:t xml:space="preserve"> large TBS </w:t>
      </w:r>
      <w:r w:rsidR="00B71D3A" w:rsidRPr="00F50960">
        <w:rPr>
          <w:lang w:val="en-US"/>
        </w:rPr>
        <w:t>of</w:t>
      </w:r>
      <w:r w:rsidR="004B6CCC" w:rsidRPr="00F50960">
        <w:rPr>
          <w:lang w:val="en-US"/>
        </w:rPr>
        <w:t xml:space="preserve"> </w:t>
      </w:r>
      <w:proofErr w:type="spellStart"/>
      <w:r w:rsidR="004B6CCC" w:rsidRPr="00F50960">
        <w:rPr>
          <w:lang w:val="en-US"/>
        </w:rPr>
        <w:t>TBoMS</w:t>
      </w:r>
      <w:proofErr w:type="spellEnd"/>
      <w:r w:rsidR="004B6CCC" w:rsidRPr="00F50960">
        <w:rPr>
          <w:lang w:val="en-US"/>
        </w:rPr>
        <w:t xml:space="preserve"> is rate-matched on each bundle of </w:t>
      </w:r>
      <w:r w:rsidR="00677027" w:rsidRPr="00F50960">
        <w:rPr>
          <w:lang w:val="en-US"/>
        </w:rPr>
        <w:t xml:space="preserve">consecutive </w:t>
      </w:r>
      <w:r w:rsidR="004B6CCC" w:rsidRPr="00F50960">
        <w:rPr>
          <w:lang w:val="en-US"/>
        </w:rPr>
        <w:t>PUSCH symbols and redundancy versions</w:t>
      </w:r>
      <w:r w:rsidR="00314A3E" w:rsidRPr="00F50960">
        <w:rPr>
          <w:lang w:val="en-US"/>
        </w:rPr>
        <w:t xml:space="preserve"> (RVs)</w:t>
      </w:r>
      <w:r w:rsidR="004B6CCC" w:rsidRPr="00F50960">
        <w:rPr>
          <w:lang w:val="en-US"/>
        </w:rPr>
        <w:t xml:space="preserve"> are cycled across the bundles</w:t>
      </w:r>
      <w:r w:rsidR="00846800" w:rsidRPr="00F50960">
        <w:rPr>
          <w:lang w:val="en-US"/>
        </w:rPr>
        <w:t>.</w:t>
      </w:r>
    </w:p>
    <w:p w14:paraId="73368BAD" w14:textId="2D85D9B3" w:rsidR="00677027" w:rsidRPr="00F50960" w:rsidRDefault="000000D8" w:rsidP="002B2E66">
      <w:pPr>
        <w:pStyle w:val="ListParagraph"/>
        <w:numPr>
          <w:ilvl w:val="0"/>
          <w:numId w:val="43"/>
        </w:numPr>
        <w:rPr>
          <w:lang w:val="en-US"/>
        </w:rPr>
      </w:pPr>
      <w:r w:rsidRPr="00F50960">
        <w:rPr>
          <w:u w:val="single"/>
          <w:lang w:val="en-US"/>
        </w:rPr>
        <w:t>Option 2</w:t>
      </w:r>
      <w:r w:rsidRPr="00F50960">
        <w:rPr>
          <w:lang w:val="en-US"/>
        </w:rPr>
        <w:t>:</w:t>
      </w:r>
      <w:r w:rsidR="00846800" w:rsidRPr="00F50960">
        <w:rPr>
          <w:lang w:val="en-US"/>
        </w:rPr>
        <w:t xml:space="preserve"> </w:t>
      </w:r>
      <w:r w:rsidR="00B71D3A" w:rsidRPr="00F50960">
        <w:rPr>
          <w:lang w:val="en-US"/>
        </w:rPr>
        <w:t>The encoded bits of the</w:t>
      </w:r>
      <w:r w:rsidR="00CD538E" w:rsidRPr="00F50960">
        <w:rPr>
          <w:lang w:val="en-US"/>
        </w:rPr>
        <w:t xml:space="preserve"> large TBS of </w:t>
      </w:r>
      <w:proofErr w:type="spellStart"/>
      <w:r w:rsidR="00CD538E" w:rsidRPr="00F50960">
        <w:rPr>
          <w:lang w:val="en-US"/>
        </w:rPr>
        <w:t>TBoMS</w:t>
      </w:r>
      <w:proofErr w:type="spellEnd"/>
      <w:r w:rsidR="00CD538E" w:rsidRPr="00F50960">
        <w:rPr>
          <w:lang w:val="en-US"/>
        </w:rPr>
        <w:t xml:space="preserve"> is rate-matched on the total resource allocated for </w:t>
      </w:r>
      <w:proofErr w:type="spellStart"/>
      <w:r w:rsidR="00CD538E" w:rsidRPr="00F50960">
        <w:rPr>
          <w:lang w:val="en-US"/>
        </w:rPr>
        <w:t>TBoMS</w:t>
      </w:r>
      <w:proofErr w:type="spellEnd"/>
      <w:r w:rsidR="00CD538E" w:rsidRPr="00F50960">
        <w:rPr>
          <w:lang w:val="en-US"/>
        </w:rPr>
        <w:t xml:space="preserve"> across all bundles of </w:t>
      </w:r>
      <w:r w:rsidR="00677027" w:rsidRPr="00F50960">
        <w:rPr>
          <w:lang w:val="en-US"/>
        </w:rPr>
        <w:t xml:space="preserve">consecutive </w:t>
      </w:r>
      <w:r w:rsidR="00CD538E" w:rsidRPr="00F50960">
        <w:rPr>
          <w:lang w:val="en-US"/>
        </w:rPr>
        <w:t>PUSCH symbols.</w:t>
      </w:r>
    </w:p>
    <w:p w14:paraId="726A30D2" w14:textId="7C5164E4" w:rsidR="0038119A" w:rsidRPr="00677027" w:rsidRDefault="00677027" w:rsidP="00CF1B6F">
      <w:pPr>
        <w:spacing w:line="276" w:lineRule="auto"/>
        <w:jc w:val="both"/>
      </w:pPr>
      <w:r w:rsidRPr="00677027">
        <w:t xml:space="preserve">To illustrate the above two options, let us take the example of TDRA Option 2 in </w:t>
      </w:r>
      <w:r w:rsidRPr="00677027">
        <w:fldChar w:fldCharType="begin"/>
      </w:r>
      <w:r w:rsidRPr="00677027">
        <w:instrText xml:space="preserve"> REF _Ref67922993 \h  \* MERGEFORMAT </w:instrText>
      </w:r>
      <w:r w:rsidRPr="00677027">
        <w:fldChar w:fldCharType="separate"/>
      </w:r>
      <w:r w:rsidRPr="00677027">
        <w:t>Figure 1</w:t>
      </w:r>
      <w:r w:rsidRPr="00677027">
        <w:fldChar w:fldCharType="end"/>
      </w:r>
      <w:r>
        <w:t xml:space="preserve"> and denote by PUSCH 0, PUSCH 1, and PUSCH 2, the three </w:t>
      </w:r>
      <w:r w:rsidR="00B94E2E">
        <w:t>PUSCH bundles</w:t>
      </w:r>
      <w:r w:rsidR="003317CA">
        <w:t xml:space="preserve"> as sho</w:t>
      </w:r>
      <w:r w:rsidR="003317CA" w:rsidRPr="00067D90">
        <w:t xml:space="preserve">wn in </w:t>
      </w:r>
      <w:r w:rsidR="00067D90" w:rsidRPr="00067D90">
        <w:fldChar w:fldCharType="begin"/>
      </w:r>
      <w:r w:rsidR="00067D90" w:rsidRPr="00067D90">
        <w:instrText xml:space="preserve"> REF _Ref68081829 \h </w:instrText>
      </w:r>
      <w:r w:rsidR="00BC12F5">
        <w:instrText xml:space="preserve"> \* MERGEFORMAT </w:instrText>
      </w:r>
      <w:r w:rsidR="00067D90" w:rsidRPr="00067D90">
        <w:fldChar w:fldCharType="separate"/>
      </w:r>
      <w:r w:rsidR="00067D90" w:rsidRPr="00067D90">
        <w:t>Figure 2</w:t>
      </w:r>
      <w:r w:rsidR="00067D90" w:rsidRPr="00067D90">
        <w:fldChar w:fldCharType="end"/>
      </w:r>
      <w:r w:rsidR="00067D90">
        <w:t xml:space="preserve">. </w:t>
      </w:r>
      <w:r w:rsidR="006C7CB6">
        <w:t>Option 2 is chosen for this example for consistency with the preference we expressed in Section 2.1.1. However, it should be noted that the same logics applies to Option 1</w:t>
      </w:r>
      <w:r w:rsidR="002B2E66">
        <w:t>. A</w:t>
      </w:r>
      <w:r w:rsidR="006C7CB6">
        <w:t xml:space="preserve">n example </w:t>
      </w:r>
      <w:r w:rsidR="0038119A">
        <w:t>for this Option will not be provided for the sake of brevity</w:t>
      </w:r>
      <w:r w:rsidR="006C7CB6">
        <w:t xml:space="preserve">. </w:t>
      </w:r>
      <w:r w:rsidR="002B2E66">
        <w:t>L</w:t>
      </w:r>
      <w:r w:rsidR="0038119A">
        <w:t xml:space="preserve">et </w:t>
      </w:r>
      <w:r w:rsidR="00292DCE" w:rsidRPr="00633750">
        <w:t>us further denote by G0, G1 and G2 the corresponding number of encoded bits that can be conveyed by PUSCH 0, PUSCH 1 and PUSCH 2, respectively.</w:t>
      </w:r>
      <w:r w:rsidR="00292DCE">
        <w:t xml:space="preserve"> Hence, the number of encoded bits that can be conveyed by the total resource allocated for </w:t>
      </w:r>
      <w:proofErr w:type="spellStart"/>
      <w:r w:rsidR="00292DCE">
        <w:t>TBoMS</w:t>
      </w:r>
      <w:proofErr w:type="spellEnd"/>
      <w:r w:rsidR="00292DCE">
        <w:t xml:space="preserve"> is G=G0+G1+G2.</w:t>
      </w:r>
    </w:p>
    <w:p w14:paraId="76EA9A37" w14:textId="77777777" w:rsidR="00067D90" w:rsidRDefault="00067D90" w:rsidP="002B2E66">
      <w:pPr>
        <w:ind w:left="720"/>
      </w:pPr>
      <w:r>
        <w:rPr>
          <w:noProof/>
        </w:rPr>
        <w:drawing>
          <wp:inline distT="0" distB="0" distL="0" distR="0" wp14:anchorId="595BF896" wp14:editId="1A136AFE">
            <wp:extent cx="5314950" cy="1028663"/>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4">
                      <a:extLst>
                        <a:ext uri="{28A0092B-C50C-407E-A947-70E740481C1C}">
                          <a14:useLocalDpi xmlns:a14="http://schemas.microsoft.com/office/drawing/2010/main" val="0"/>
                        </a:ext>
                      </a:extLst>
                    </a:blip>
                    <a:srcRect t="6103" b="11496"/>
                    <a:stretch/>
                  </pic:blipFill>
                  <pic:spPr bwMode="auto">
                    <a:xfrm>
                      <a:off x="0" y="0"/>
                      <a:ext cx="5317264" cy="1029111"/>
                    </a:xfrm>
                    <a:prstGeom prst="rect">
                      <a:avLst/>
                    </a:prstGeom>
                    <a:ln>
                      <a:noFill/>
                    </a:ln>
                    <a:extLst>
                      <a:ext uri="{53640926-AAD7-44D8-BBD7-CCE9431645EC}">
                        <a14:shadowObscured xmlns:a14="http://schemas.microsoft.com/office/drawing/2010/main"/>
                      </a:ext>
                    </a:extLst>
                  </pic:spPr>
                </pic:pic>
              </a:graphicData>
            </a:graphic>
          </wp:inline>
        </w:drawing>
      </w:r>
    </w:p>
    <w:p w14:paraId="6E2BAFF6" w14:textId="4EDBAB83" w:rsidR="0038119A" w:rsidRDefault="00067D90" w:rsidP="00CF1B6F">
      <w:pPr>
        <w:pStyle w:val="Caption"/>
        <w:spacing w:after="240"/>
        <w:jc w:val="center"/>
      </w:pPr>
      <w:bookmarkStart w:id="13" w:name="_Ref68081829"/>
      <w:r>
        <w:t xml:space="preserve">Figure </w:t>
      </w:r>
      <w:r>
        <w:fldChar w:fldCharType="begin"/>
      </w:r>
      <w:r>
        <w:instrText>SEQ Figure \* ARABIC</w:instrText>
      </w:r>
      <w:r>
        <w:fldChar w:fldCharType="separate"/>
      </w:r>
      <w:r w:rsidR="00334593">
        <w:rPr>
          <w:noProof/>
        </w:rPr>
        <w:t>2</w:t>
      </w:r>
      <w:r>
        <w:fldChar w:fldCharType="end"/>
      </w:r>
      <w:bookmarkEnd w:id="13"/>
      <w:r>
        <w:t xml:space="preserve">. Illustration of multiple bundles of consecutive PUSCH symbols for </w:t>
      </w:r>
      <w:proofErr w:type="spellStart"/>
      <w:r>
        <w:t>TBoMS</w:t>
      </w:r>
      <w:proofErr w:type="spellEnd"/>
      <w:r>
        <w:t>.</w:t>
      </w:r>
    </w:p>
    <w:p w14:paraId="08ADC9C1" w14:textId="0C6ABC16" w:rsidR="002B2E66" w:rsidRDefault="00915612" w:rsidP="00E8417E">
      <w:pPr>
        <w:spacing w:line="276" w:lineRule="auto"/>
        <w:jc w:val="both"/>
      </w:pPr>
      <w:r w:rsidRPr="00633750">
        <w:fldChar w:fldCharType="begin"/>
      </w:r>
      <w:r w:rsidRPr="00633750">
        <w:instrText xml:space="preserve"> REF _Ref68085186 \h </w:instrText>
      </w:r>
      <w:r w:rsidR="00BC12F5">
        <w:instrText xml:space="preserve"> \* MERGEFORMAT </w:instrText>
      </w:r>
      <w:r w:rsidRPr="00633750">
        <w:fldChar w:fldCharType="separate"/>
      </w:r>
      <w:r w:rsidRPr="00633750">
        <w:t>Figure 3</w:t>
      </w:r>
      <w:r w:rsidRPr="00633750">
        <w:fldChar w:fldCharType="end"/>
      </w:r>
      <w:r w:rsidRPr="00633750">
        <w:t xml:space="preserve"> illustrates </w:t>
      </w:r>
      <w:r w:rsidR="00633750" w:rsidRPr="00633750">
        <w:t>the above two options f</w:t>
      </w:r>
      <w:r w:rsidR="002B2E66">
        <w:t>or</w:t>
      </w:r>
      <w:r w:rsidR="00633750" w:rsidRPr="00633750">
        <w:t xml:space="preserve"> mapping/rate-match</w:t>
      </w:r>
      <w:r w:rsidR="00633750">
        <w:t>i</w:t>
      </w:r>
      <w:r w:rsidR="00633750" w:rsidRPr="00633750">
        <w:t>ng the encoded bits on the allocated resource across multiple slots</w:t>
      </w:r>
      <w:r w:rsidR="0038044B">
        <w:t xml:space="preserve"> for </w:t>
      </w:r>
      <w:proofErr w:type="spellStart"/>
      <w:r w:rsidR="0038044B" w:rsidRPr="0038044B">
        <w:t>TBoMS</w:t>
      </w:r>
      <w:proofErr w:type="spellEnd"/>
      <w:r w:rsidR="0038044B">
        <w:t>,</w:t>
      </w:r>
      <w:r w:rsidR="0038044B" w:rsidRPr="0038044B">
        <w:t xml:space="preserve"> assuming LDPC base graph 2 and PUSCH allocation in Figure 2</w:t>
      </w:r>
      <w:r w:rsidR="00633750">
        <w:t xml:space="preserve">. </w:t>
      </w:r>
      <w:r w:rsidR="002B2E66">
        <w:t xml:space="preserve">Note that since the TBS can be rather large for </w:t>
      </w:r>
      <w:proofErr w:type="spellStart"/>
      <w:r w:rsidR="002B2E66">
        <w:t>TBoMS</w:t>
      </w:r>
      <w:proofErr w:type="spellEnd"/>
      <w:r w:rsidR="002B2E66">
        <w:t xml:space="preserve">, the number of encoded bits is also large, since the coding rate of LDPC base graph should be kept (e.g., coding rate of 0.2 for base graph 2). </w:t>
      </w:r>
      <w:r w:rsidR="002B2E66" w:rsidRPr="002B2E66">
        <w:t>Th</w:t>
      </w:r>
      <w:r w:rsidR="002B2E66">
        <w:t>is has an implication on the overlaps/gaps which may or may not exist between different RVs in the circular buffer. Consider</w:t>
      </w:r>
      <w:r w:rsidR="002B2E66" w:rsidRPr="002B2E66">
        <w:t xml:space="preserve"> </w:t>
      </w:r>
      <w:r w:rsidR="002B2E66" w:rsidRPr="002B2E66">
        <w:fldChar w:fldCharType="begin"/>
      </w:r>
      <w:r w:rsidR="002B2E66" w:rsidRPr="002B2E66">
        <w:instrText xml:space="preserve"> REF _Ref68085186 \h  \* MERGEFORMAT </w:instrText>
      </w:r>
      <w:r w:rsidR="002B2E66" w:rsidRPr="002B2E66">
        <w:fldChar w:fldCharType="separate"/>
      </w:r>
      <w:r w:rsidR="002B2E66" w:rsidRPr="002B2E66">
        <w:t>Figure 3</w:t>
      </w:r>
      <w:r w:rsidR="002B2E66" w:rsidRPr="002B2E66">
        <w:fldChar w:fldCharType="end"/>
      </w:r>
      <w:r w:rsidR="002B2E66">
        <w:t xml:space="preserve">. Therein, the legacy Rel-15/16 RVs allocation is used for Option 1 and RV0, RV2, and RV3 are assumed for PUSCH 0, PUSCH 1 and PUSCH 2, respectively. Conversely, for Option 2, G bits are extracted from the circular buffer using RV0 and split into G0, G1, G2 bits so that they are conveyed on the resource of PUSCH 0, 1, and 2, respectively. </w:t>
      </w:r>
    </w:p>
    <w:p w14:paraId="7E3A48F8" w14:textId="5836DAD4" w:rsidR="002F1227" w:rsidRPr="002B2E66" w:rsidRDefault="00B60563" w:rsidP="002B2E66">
      <w:pPr>
        <w:ind w:left="720"/>
        <w:jc w:val="center"/>
      </w:pPr>
      <w:r>
        <w:rPr>
          <w:noProof/>
        </w:rPr>
        <w:drawing>
          <wp:inline distT="0" distB="0" distL="0" distR="0" wp14:anchorId="4B75E83B" wp14:editId="0967A7A0">
            <wp:extent cx="5554800" cy="22932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rotWithShape="1">
                    <a:blip r:embed="rId15" cstate="print">
                      <a:extLst>
                        <a:ext uri="{28A0092B-C50C-407E-A947-70E740481C1C}">
                          <a14:useLocalDpi xmlns:a14="http://schemas.microsoft.com/office/drawing/2010/main" val="0"/>
                        </a:ext>
                      </a:extLst>
                    </a:blip>
                    <a:srcRect t="9437" b="5423"/>
                    <a:stretch/>
                  </pic:blipFill>
                  <pic:spPr bwMode="auto">
                    <a:xfrm>
                      <a:off x="0" y="0"/>
                      <a:ext cx="5554800" cy="2293200"/>
                    </a:xfrm>
                    <a:prstGeom prst="rect">
                      <a:avLst/>
                    </a:prstGeom>
                    <a:ln>
                      <a:noFill/>
                    </a:ln>
                    <a:extLst>
                      <a:ext uri="{53640926-AAD7-44D8-BBD7-CCE9431645EC}">
                        <a14:shadowObscured xmlns:a14="http://schemas.microsoft.com/office/drawing/2010/main"/>
                      </a:ext>
                    </a:extLst>
                  </pic:spPr>
                </pic:pic>
              </a:graphicData>
            </a:graphic>
          </wp:inline>
        </w:drawing>
      </w:r>
    </w:p>
    <w:p w14:paraId="05E47C00" w14:textId="75BE4D43" w:rsidR="00067D90" w:rsidRDefault="002F1227" w:rsidP="002B2E66">
      <w:pPr>
        <w:pStyle w:val="Caption"/>
        <w:spacing w:before="60" w:after="300"/>
        <w:jc w:val="center"/>
      </w:pPr>
      <w:bookmarkStart w:id="14" w:name="_Ref68085186"/>
      <w:r w:rsidRPr="00633750">
        <w:t xml:space="preserve">Figure </w:t>
      </w:r>
      <w:r>
        <w:fldChar w:fldCharType="begin"/>
      </w:r>
      <w:r>
        <w:instrText>SEQ Figure \* ARABIC</w:instrText>
      </w:r>
      <w:r>
        <w:fldChar w:fldCharType="separate"/>
      </w:r>
      <w:r w:rsidR="00334593">
        <w:rPr>
          <w:noProof/>
        </w:rPr>
        <w:t>3</w:t>
      </w:r>
      <w:r>
        <w:fldChar w:fldCharType="end"/>
      </w:r>
      <w:bookmarkEnd w:id="14"/>
      <w:r w:rsidRPr="00633750">
        <w:t>. Illustration of rate-matching Option 1 and Option 2</w:t>
      </w:r>
      <w:r w:rsidR="00537453" w:rsidRPr="00633750">
        <w:t xml:space="preserve"> for </w:t>
      </w:r>
      <w:proofErr w:type="spellStart"/>
      <w:r w:rsidR="00537453" w:rsidRPr="00633750">
        <w:t>TBoMS</w:t>
      </w:r>
      <w:proofErr w:type="spellEnd"/>
      <w:r w:rsidR="00537453" w:rsidRPr="00633750">
        <w:t xml:space="preserve"> assuming LDPC base graph 2 and PUSCH allocation in </w:t>
      </w:r>
      <w:r w:rsidR="00537453" w:rsidRPr="00633750">
        <w:fldChar w:fldCharType="begin"/>
      </w:r>
      <w:r w:rsidR="00537453" w:rsidRPr="00633750">
        <w:instrText xml:space="preserve"> REF _Ref68081829 \h </w:instrText>
      </w:r>
      <w:r w:rsidR="00BC12F5">
        <w:instrText xml:space="preserve"> \* MERGEFORMAT </w:instrText>
      </w:r>
      <w:r w:rsidR="00537453" w:rsidRPr="00633750">
        <w:fldChar w:fldCharType="separate"/>
      </w:r>
      <w:r w:rsidR="00537453" w:rsidRPr="00633750">
        <w:t>Figure 2</w:t>
      </w:r>
      <w:r w:rsidR="00537453" w:rsidRPr="00633750">
        <w:fldChar w:fldCharType="end"/>
      </w:r>
      <w:r w:rsidR="005368E5">
        <w:t>, limited buffer rate-matching is not considered</w:t>
      </w:r>
      <w:r w:rsidRPr="00633750">
        <w:t>.</w:t>
      </w:r>
    </w:p>
    <w:p w14:paraId="307241F4" w14:textId="77777777" w:rsidR="00E8417E" w:rsidRDefault="00E8417E" w:rsidP="00E8417E">
      <w:pPr>
        <w:spacing w:line="276" w:lineRule="auto"/>
      </w:pPr>
      <w:r>
        <w:t xml:space="preserve">The above two rate-matching options should offer similar performance for </w:t>
      </w:r>
      <w:proofErr w:type="spellStart"/>
      <w:r>
        <w:t>TBoMS</w:t>
      </w:r>
      <w:proofErr w:type="spellEnd"/>
      <w:r>
        <w:t xml:space="preserve"> in theory. </w:t>
      </w:r>
    </w:p>
    <w:p w14:paraId="20A7092A" w14:textId="40C7A669" w:rsidR="00E8417E" w:rsidRDefault="00E8417E" w:rsidP="00E8417E">
      <w:pPr>
        <w:spacing w:line="276" w:lineRule="auto"/>
      </w:pPr>
      <w:r>
        <w:lastRenderedPageBreak/>
        <w:t xml:space="preserve">However, if we look closely at the two Options in </w:t>
      </w:r>
      <w:r>
        <w:fldChar w:fldCharType="begin"/>
      </w:r>
      <w:r>
        <w:instrText xml:space="preserve"> REF _Ref68085186 \h </w:instrText>
      </w:r>
      <w:r>
        <w:fldChar w:fldCharType="separate"/>
      </w:r>
      <w:r w:rsidRPr="00633750">
        <w:t xml:space="preserve">Figure </w:t>
      </w:r>
      <w:r>
        <w:rPr>
          <w:noProof/>
        </w:rPr>
        <w:t>3</w:t>
      </w:r>
      <w:r>
        <w:fldChar w:fldCharType="end"/>
      </w:r>
      <w:r>
        <w:t xml:space="preserve">, the following two high-level observations can be made. </w:t>
      </w:r>
    </w:p>
    <w:p w14:paraId="06838DB5" w14:textId="77777777" w:rsidR="00E8417E" w:rsidRPr="00F50960" w:rsidRDefault="00E8417E" w:rsidP="00E8417E">
      <w:pPr>
        <w:pStyle w:val="ListParagraph"/>
        <w:rPr>
          <w:lang w:val="en-US"/>
        </w:rPr>
      </w:pPr>
      <w:r w:rsidRPr="00F50960">
        <w:rPr>
          <w:lang w:val="en-US"/>
        </w:rPr>
        <w:t>If an overlap exists between two consecutive RVs in the circular buffer, then such overlap decreases as the TBS grows decreases.</w:t>
      </w:r>
    </w:p>
    <w:p w14:paraId="325BCAE5" w14:textId="3E05E4B2" w:rsidR="00E8417E" w:rsidRPr="00F50960" w:rsidRDefault="00E8417E" w:rsidP="00E8417E">
      <w:pPr>
        <w:pStyle w:val="ListParagraph"/>
        <w:rPr>
          <w:lang w:val="en-US"/>
        </w:rPr>
      </w:pPr>
      <w:r w:rsidRPr="00F50960">
        <w:rPr>
          <w:lang w:val="en-US"/>
        </w:rPr>
        <w:t xml:space="preserve">If, conversely, a gap exists between two consecutive </w:t>
      </w:r>
      <w:r w:rsidR="00F50960">
        <w:rPr>
          <w:lang w:val="en-US"/>
        </w:rPr>
        <w:t>R</w:t>
      </w:r>
      <w:r w:rsidRPr="00F50960">
        <w:rPr>
          <w:lang w:val="en-US"/>
        </w:rPr>
        <w:t>Vs in the circular buffer, then such gap increases as the TBS grows.</w:t>
      </w:r>
    </w:p>
    <w:p w14:paraId="0DAA7BFE" w14:textId="6B034935" w:rsidR="00E661A5" w:rsidRPr="00055054" w:rsidRDefault="00E8417E" w:rsidP="007D66B1">
      <w:pPr>
        <w:spacing w:after="0" w:line="276" w:lineRule="auto"/>
        <w:jc w:val="both"/>
      </w:pPr>
      <w:r w:rsidRPr="00F50960">
        <w:t>This highlights</w:t>
      </w:r>
      <w:r w:rsidR="00E661A5">
        <w:t xml:space="preserve"> </w:t>
      </w:r>
      <w:r>
        <w:t xml:space="preserve">a first, but very important, high-level reason why </w:t>
      </w:r>
      <w:r w:rsidR="00C30A28">
        <w:t xml:space="preserve">Option </w:t>
      </w:r>
      <w:r w:rsidR="00BD3613">
        <w:t>2</w:t>
      </w:r>
      <w:r>
        <w:t xml:space="preserve"> </w:t>
      </w:r>
      <w:r w:rsidR="00C30A28">
        <w:t>provide</w:t>
      </w:r>
      <w:r>
        <w:t>s</w:t>
      </w:r>
      <w:r w:rsidR="00C30A28">
        <w:t xml:space="preserve"> more advantages than Option </w:t>
      </w:r>
      <w:r w:rsidR="00BD3613">
        <w:t>1</w:t>
      </w:r>
      <w:r w:rsidR="007D66B1">
        <w:t xml:space="preserve">. Indeed, </w:t>
      </w:r>
      <w:r w:rsidR="00237A62" w:rsidRPr="00C30A28">
        <w:rPr>
          <w:u w:val="single"/>
        </w:rPr>
        <w:t xml:space="preserve">Option 1 </w:t>
      </w:r>
      <w:r w:rsidR="00237A62">
        <w:rPr>
          <w:u w:val="single"/>
        </w:rPr>
        <w:t>shows</w:t>
      </w:r>
      <w:r w:rsidR="00980265" w:rsidRPr="00C30A28">
        <w:rPr>
          <w:u w:val="single"/>
        </w:rPr>
        <w:t xml:space="preserve"> </w:t>
      </w:r>
      <w:r w:rsidR="00E661A5" w:rsidRPr="00C30A28">
        <w:rPr>
          <w:u w:val="single"/>
        </w:rPr>
        <w:t xml:space="preserve">limitation </w:t>
      </w:r>
      <w:r w:rsidR="00980265" w:rsidRPr="00C30A28">
        <w:rPr>
          <w:u w:val="single"/>
        </w:rPr>
        <w:t>in case a large</w:t>
      </w:r>
      <w:r w:rsidR="0038119A">
        <w:rPr>
          <w:u w:val="single"/>
        </w:rPr>
        <w:t>r</w:t>
      </w:r>
      <w:r w:rsidR="00980265" w:rsidRPr="00C30A28">
        <w:rPr>
          <w:u w:val="single"/>
        </w:rPr>
        <w:t xml:space="preserve"> TBS is considered</w:t>
      </w:r>
      <w:r w:rsidR="007D66B1">
        <w:t>. R</w:t>
      </w:r>
      <w:r w:rsidR="00E661A5" w:rsidRPr="00A93667">
        <w:t>ate-matching a large</w:t>
      </w:r>
      <w:r w:rsidR="0038119A">
        <w:t>r</w:t>
      </w:r>
      <w:r w:rsidR="00E661A5" w:rsidRPr="00A93667">
        <w:t xml:space="preserve"> TBS</w:t>
      </w:r>
      <w:r w:rsidR="0038119A">
        <w:t>,</w:t>
      </w:r>
      <w:r w:rsidR="00E661A5" w:rsidRPr="00A93667">
        <w:t xml:space="preserve"> determined by the resource across many </w:t>
      </w:r>
      <w:r w:rsidR="00B94E2E">
        <w:t>PUSCH bundles</w:t>
      </w:r>
      <w:r w:rsidR="0038119A">
        <w:t>,</w:t>
      </w:r>
      <w:r w:rsidR="00E661A5" w:rsidRPr="00A93667">
        <w:t xml:space="preserve"> into the resource of a single </w:t>
      </w:r>
      <w:r w:rsidR="00B94E2E">
        <w:t>PUSCH bundle</w:t>
      </w:r>
      <w:r w:rsidR="00980265" w:rsidRPr="00A93667">
        <w:t xml:space="preserve"> </w:t>
      </w:r>
      <w:r w:rsidR="00E661A5" w:rsidRPr="00A93667">
        <w:t xml:space="preserve">may lead to the scenario where the effective coding rate of the self-decodable redundancy versions (i.e., RV0 and RV3) becomes too high. This is </w:t>
      </w:r>
      <w:proofErr w:type="gramStart"/>
      <w:r w:rsidR="00E661A5" w:rsidRPr="00A93667">
        <w:t>due to the fact that</w:t>
      </w:r>
      <w:proofErr w:type="gramEnd"/>
      <w:r w:rsidR="00E661A5" w:rsidRPr="00A93667">
        <w:t xml:space="preserve"> a lot of systematic and parity bits have to be punctured to match with the resources of one PUSCH segment. In some extreme cases, the effective coding rate could even be</w:t>
      </w:r>
      <w:r w:rsidR="00A93667" w:rsidRPr="00A93667">
        <w:t xml:space="preserve"> equal to</w:t>
      </w:r>
      <w:r w:rsidR="00E661A5" w:rsidRPr="00A93667">
        <w:t xml:space="preserve"> 1, which </w:t>
      </w:r>
      <w:r w:rsidR="6DF060F6" w:rsidRPr="00A93667">
        <w:t xml:space="preserve">may make </w:t>
      </w:r>
      <w:r w:rsidR="00E661A5" w:rsidRPr="00A93667">
        <w:t xml:space="preserve">these self-decodable RVs being non-self-decodable. This issue degrades the performance and may cause the whole codeword being undecodable if too many systematic and parity bits are punctured. An example of this issue is </w:t>
      </w:r>
      <w:r w:rsidR="00E661A5" w:rsidRPr="004D2959">
        <w:t>illustrated in</w:t>
      </w:r>
      <w:r w:rsidR="00A93667" w:rsidRPr="004D2959">
        <w:t xml:space="preserve"> </w:t>
      </w:r>
      <w:r w:rsidR="004D2959" w:rsidRPr="004D2959">
        <w:fldChar w:fldCharType="begin"/>
      </w:r>
      <w:r w:rsidR="004D2959" w:rsidRPr="004D2959">
        <w:instrText xml:space="preserve"> REF _Ref68122640 \h </w:instrText>
      </w:r>
      <w:r w:rsidR="00BC12F5">
        <w:instrText xml:space="preserve"> \* MERGEFORMAT </w:instrText>
      </w:r>
      <w:r w:rsidR="004D2959" w:rsidRPr="004D2959">
        <w:fldChar w:fldCharType="separate"/>
      </w:r>
      <w:r w:rsidR="004D2959" w:rsidRPr="004D2959">
        <w:t>Figure 4</w:t>
      </w:r>
      <w:r w:rsidR="004D2959" w:rsidRPr="004D2959">
        <w:fldChar w:fldCharType="end"/>
      </w:r>
      <w:r w:rsidR="00E661A5" w:rsidRPr="004D2959">
        <w:t>, wherein</w:t>
      </w:r>
      <w:r w:rsidR="00E661A5" w:rsidRPr="00A93667">
        <w:t xml:space="preserve"> G0 is smaller than the TBS. Hence, the effective coding rate of the self-decodable redundancy versions </w:t>
      </w:r>
      <w:r w:rsidR="00A93667" w:rsidRPr="00A93667">
        <w:t>RV0</w:t>
      </w:r>
      <w:r w:rsidR="00E661A5" w:rsidRPr="00A93667">
        <w:t xml:space="preserve"> is </w:t>
      </w:r>
      <w:r w:rsidR="00A93667" w:rsidRPr="00A93667">
        <w:t>equal to</w:t>
      </w:r>
      <w:r w:rsidR="00E661A5" w:rsidRPr="00A93667">
        <w:t xml:space="preserve"> 1, making them non-self-decodable. </w:t>
      </w:r>
      <w:r w:rsidR="006A5010" w:rsidRPr="00055054">
        <w:rPr>
          <w:u w:val="single"/>
        </w:rPr>
        <w:t>It is important to observe that this can never happen if Option 2 is used</w:t>
      </w:r>
      <w:r w:rsidR="006A5010" w:rsidRPr="00055054">
        <w:t>.</w:t>
      </w:r>
    </w:p>
    <w:p w14:paraId="2543AF2F" w14:textId="77777777" w:rsidR="0038119A" w:rsidRPr="00A93667" w:rsidRDefault="0038119A" w:rsidP="002B2E66">
      <w:pPr>
        <w:ind w:left="720"/>
      </w:pPr>
    </w:p>
    <w:p w14:paraId="3BE2DC7F" w14:textId="77777777" w:rsidR="00334593" w:rsidRDefault="00A93667" w:rsidP="002B2E66">
      <w:pPr>
        <w:ind w:left="720"/>
      </w:pPr>
      <w:r>
        <w:rPr>
          <w:noProof/>
        </w:rPr>
        <w:drawing>
          <wp:inline distT="0" distB="0" distL="0" distR="0" wp14:anchorId="35AF2934" wp14:editId="098317AE">
            <wp:extent cx="5654040" cy="869950"/>
            <wp:effectExtent l="0" t="0" r="381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rotWithShape="1">
                    <a:blip r:embed="rId16">
                      <a:extLst>
                        <a:ext uri="{28A0092B-C50C-407E-A947-70E740481C1C}">
                          <a14:useLocalDpi xmlns:a14="http://schemas.microsoft.com/office/drawing/2010/main" val="0"/>
                        </a:ext>
                      </a:extLst>
                    </a:blip>
                    <a:srcRect t="17459" b="16094"/>
                    <a:stretch/>
                  </pic:blipFill>
                  <pic:spPr bwMode="auto">
                    <a:xfrm>
                      <a:off x="0" y="0"/>
                      <a:ext cx="5655660" cy="870199"/>
                    </a:xfrm>
                    <a:prstGeom prst="rect">
                      <a:avLst/>
                    </a:prstGeom>
                    <a:ln>
                      <a:noFill/>
                    </a:ln>
                    <a:extLst>
                      <a:ext uri="{53640926-AAD7-44D8-BBD7-CCE9431645EC}">
                        <a14:shadowObscured xmlns:a14="http://schemas.microsoft.com/office/drawing/2010/main"/>
                      </a:ext>
                    </a:extLst>
                  </pic:spPr>
                </pic:pic>
              </a:graphicData>
            </a:graphic>
          </wp:inline>
        </w:drawing>
      </w:r>
    </w:p>
    <w:p w14:paraId="6FEA53DD" w14:textId="3898552C" w:rsidR="007D66B1" w:rsidRDefault="00334593" w:rsidP="007D66B1">
      <w:pPr>
        <w:pStyle w:val="Caption"/>
        <w:spacing w:after="300"/>
        <w:ind w:left="567"/>
        <w:jc w:val="center"/>
      </w:pPr>
      <w:bookmarkStart w:id="15" w:name="_Ref68122640"/>
      <w:r>
        <w:t xml:space="preserve">Figure </w:t>
      </w:r>
      <w:fldSimple w:instr=" SEQ Figure \* ARABIC ">
        <w:r>
          <w:rPr>
            <w:noProof/>
          </w:rPr>
          <w:t>4</w:t>
        </w:r>
      </w:fldSimple>
      <w:bookmarkEnd w:id="15"/>
      <w:r>
        <w:t xml:space="preserve">. </w:t>
      </w:r>
      <w:r w:rsidRPr="008D4831">
        <w:t xml:space="preserve">Illustration of rate-matching Option 1 for </w:t>
      </w:r>
      <w:proofErr w:type="spellStart"/>
      <w:r w:rsidRPr="008D4831">
        <w:t>TBoMS</w:t>
      </w:r>
      <w:proofErr w:type="spellEnd"/>
      <w:r w:rsidRPr="008D4831">
        <w:t xml:space="preserve"> assuming LDPC base graph 2 and PUSCH allocation</w:t>
      </w:r>
      <w:r>
        <w:t xml:space="preserve"> as in TDRA Option 1 illustrated</w:t>
      </w:r>
      <w:r w:rsidRPr="008D4831">
        <w:t xml:space="preserve"> in </w:t>
      </w:r>
      <w:r>
        <w:fldChar w:fldCharType="begin"/>
      </w:r>
      <w:r>
        <w:instrText xml:space="preserve"> REF _Ref67922993 \h </w:instrText>
      </w:r>
      <w:r w:rsidR="00BC12F5">
        <w:instrText xml:space="preserve"> \* MERGEFORMAT </w:instrText>
      </w:r>
      <w:r>
        <w:fldChar w:fldCharType="separate"/>
      </w:r>
      <w:r w:rsidRPr="004B6CCC">
        <w:t xml:space="preserve">Figure </w:t>
      </w:r>
      <w:r>
        <w:rPr>
          <w:noProof/>
        </w:rPr>
        <w:t>1</w:t>
      </w:r>
      <w:r>
        <w:fldChar w:fldCharType="end"/>
      </w:r>
      <w:r w:rsidRPr="008D4831">
        <w:t>, limited buffer rate-matching is not considered.</w:t>
      </w:r>
    </w:p>
    <w:p w14:paraId="76CB3A51" w14:textId="13E26932" w:rsidR="007D66B1" w:rsidRPr="007D66B1" w:rsidRDefault="007D66B1" w:rsidP="007D66B1">
      <w:r>
        <w:t>Additional observations which highlight superiority of Option 2 over Option 1 follow:</w:t>
      </w:r>
    </w:p>
    <w:p w14:paraId="31F4EC2C" w14:textId="781C7541" w:rsidR="00237A62" w:rsidRPr="00FF151B" w:rsidRDefault="00237A62" w:rsidP="002B2E66">
      <w:pPr>
        <w:pStyle w:val="ListParagraph"/>
        <w:numPr>
          <w:ilvl w:val="0"/>
          <w:numId w:val="45"/>
        </w:numPr>
        <w:rPr>
          <w:szCs w:val="20"/>
          <w:lang w:val="en-US"/>
        </w:rPr>
      </w:pPr>
      <w:r w:rsidRPr="00FF151B">
        <w:rPr>
          <w:u w:val="single"/>
          <w:lang w:val="en-US"/>
        </w:rPr>
        <w:t>Option 1 requires more decoding attempts</w:t>
      </w:r>
      <w:r w:rsidRPr="00FF151B">
        <w:rPr>
          <w:lang w:val="en-US"/>
        </w:rPr>
        <w:t xml:space="preserve">: Assuming consecutive physical slots are used for </w:t>
      </w:r>
      <w:proofErr w:type="spellStart"/>
      <w:r w:rsidRPr="00FF151B">
        <w:rPr>
          <w:lang w:val="en-US"/>
        </w:rPr>
        <w:t>TBoMS</w:t>
      </w:r>
      <w:proofErr w:type="spellEnd"/>
      <w:r w:rsidRPr="00FF151B">
        <w:rPr>
          <w:lang w:val="en-US"/>
        </w:rPr>
        <w:t>, the receiver only needs to decode once with Option 2, hence saving power</w:t>
      </w:r>
      <w:r w:rsidR="00BD3613" w:rsidRPr="00FF151B">
        <w:rPr>
          <w:lang w:val="en-US"/>
        </w:rPr>
        <w:t xml:space="preserve"> and latency of decoding</w:t>
      </w:r>
      <w:r w:rsidR="00B46298" w:rsidRPr="00FF151B">
        <w:rPr>
          <w:lang w:val="en-US"/>
        </w:rPr>
        <w:t xml:space="preserve"> when the TB has multiple code blocks</w:t>
      </w:r>
      <w:r w:rsidRPr="00FF151B">
        <w:rPr>
          <w:lang w:val="en-US"/>
        </w:rPr>
        <w:t xml:space="preserve">. In contrast, Option 1 </w:t>
      </w:r>
      <w:r w:rsidR="006A5010" w:rsidRPr="00FF151B">
        <w:rPr>
          <w:lang w:val="en-US"/>
        </w:rPr>
        <w:t xml:space="preserve">may </w:t>
      </w:r>
      <w:r w:rsidRPr="00FF151B">
        <w:rPr>
          <w:lang w:val="en-US"/>
        </w:rPr>
        <w:t>require the decoding on each PUSCH bundle.</w:t>
      </w:r>
    </w:p>
    <w:p w14:paraId="2451E5BE" w14:textId="5FCB360A" w:rsidR="00B94E2E" w:rsidRPr="00FF151B" w:rsidRDefault="00C30A28" w:rsidP="002B2E66">
      <w:pPr>
        <w:pStyle w:val="ListParagraph"/>
        <w:numPr>
          <w:ilvl w:val="0"/>
          <w:numId w:val="45"/>
        </w:numPr>
        <w:rPr>
          <w:lang w:val="en-US"/>
        </w:rPr>
      </w:pPr>
      <w:r w:rsidRPr="00FF151B">
        <w:rPr>
          <w:u w:val="single"/>
          <w:lang w:val="en-US"/>
        </w:rPr>
        <w:t>Option 2 is more robust in case small number of PUSCH bundles</w:t>
      </w:r>
      <w:r w:rsidRPr="00FF151B">
        <w:rPr>
          <w:lang w:val="en-US"/>
        </w:rPr>
        <w:t xml:space="preserve">: </w:t>
      </w:r>
      <w:r w:rsidR="005450E6" w:rsidRPr="00FF151B">
        <w:rPr>
          <w:lang w:val="en-US"/>
        </w:rPr>
        <w:t xml:space="preserve">Option 1 uses multiple RVs with small sizes, </w:t>
      </w:r>
      <w:r w:rsidR="00055054" w:rsidRPr="00FF151B">
        <w:rPr>
          <w:lang w:val="en-US"/>
        </w:rPr>
        <w:t xml:space="preserve">and </w:t>
      </w:r>
      <w:r w:rsidR="00A73379" w:rsidRPr="00FF151B">
        <w:rPr>
          <w:lang w:val="en-US"/>
        </w:rPr>
        <w:t>small</w:t>
      </w:r>
      <w:r w:rsidR="005450E6" w:rsidRPr="00FF151B">
        <w:rPr>
          <w:lang w:val="en-US"/>
        </w:rPr>
        <w:t xml:space="preserve"> interleav</w:t>
      </w:r>
      <w:r w:rsidR="00055054" w:rsidRPr="00FF151B">
        <w:rPr>
          <w:lang w:val="en-US"/>
        </w:rPr>
        <w:t>ing block is applied per RV</w:t>
      </w:r>
      <w:r w:rsidR="005450E6" w:rsidRPr="00FF151B">
        <w:rPr>
          <w:lang w:val="en-US"/>
        </w:rPr>
        <w:t xml:space="preserve"> after rate-matching. Therefore, </w:t>
      </w:r>
      <w:r w:rsidR="006A5010" w:rsidRPr="00FF151B">
        <w:rPr>
          <w:lang w:val="en-US"/>
        </w:rPr>
        <w:t>if</w:t>
      </w:r>
      <w:r w:rsidR="00852FB0" w:rsidRPr="00FF151B">
        <w:rPr>
          <w:lang w:val="en-US"/>
        </w:rPr>
        <w:t xml:space="preserve"> the number of </w:t>
      </w:r>
      <w:r w:rsidR="00B94E2E" w:rsidRPr="00FF151B">
        <w:rPr>
          <w:lang w:val="en-US"/>
        </w:rPr>
        <w:t>PUSCH bundles</w:t>
      </w:r>
      <w:r w:rsidR="00852FB0" w:rsidRPr="00FF151B">
        <w:rPr>
          <w:lang w:val="en-US"/>
        </w:rPr>
        <w:t xml:space="preserve"> for </w:t>
      </w:r>
      <w:proofErr w:type="spellStart"/>
      <w:r w:rsidR="00852FB0" w:rsidRPr="00FF151B">
        <w:rPr>
          <w:lang w:val="en-US"/>
        </w:rPr>
        <w:t>TBoMS</w:t>
      </w:r>
      <w:proofErr w:type="spellEnd"/>
      <w:r w:rsidR="00852FB0" w:rsidRPr="00FF151B">
        <w:rPr>
          <w:lang w:val="en-US"/>
        </w:rPr>
        <w:t xml:space="preserve"> is less than 5 (i.e., the</w:t>
      </w:r>
      <w:r w:rsidR="00055054" w:rsidRPr="00FF151B">
        <w:rPr>
          <w:lang w:val="en-US"/>
        </w:rPr>
        <w:t xml:space="preserve"> same RV is not used more than once</w:t>
      </w:r>
      <w:r w:rsidR="00852FB0" w:rsidRPr="00FF151B">
        <w:rPr>
          <w:lang w:val="en-US"/>
        </w:rPr>
        <w:t>), if at least one of the PUSCHs associated with the self-decodable RVs are dropped (e.g., due to overlapping with high priority channel or UL CI, etc</w:t>
      </w:r>
      <w:r w:rsidR="005450E6" w:rsidRPr="00FF151B">
        <w:rPr>
          <w:lang w:val="en-US"/>
        </w:rPr>
        <w:t>.</w:t>
      </w:r>
      <w:r w:rsidR="00852FB0" w:rsidRPr="00FF151B">
        <w:rPr>
          <w:lang w:val="en-US"/>
        </w:rPr>
        <w:t>)</w:t>
      </w:r>
      <w:r w:rsidR="005450E6" w:rsidRPr="00FF151B">
        <w:rPr>
          <w:lang w:val="en-US"/>
        </w:rPr>
        <w:t xml:space="preserve">, then it may not be possible to decode the </w:t>
      </w:r>
      <w:proofErr w:type="spellStart"/>
      <w:r w:rsidR="005450E6" w:rsidRPr="00FF151B">
        <w:rPr>
          <w:lang w:val="en-US"/>
        </w:rPr>
        <w:t>TBoMS</w:t>
      </w:r>
      <w:proofErr w:type="spellEnd"/>
      <w:r w:rsidR="005450E6" w:rsidRPr="00FF151B">
        <w:rPr>
          <w:lang w:val="en-US"/>
        </w:rPr>
        <w:t xml:space="preserve">. In contrast, Option 2 uses a </w:t>
      </w:r>
      <w:r w:rsidR="00A73379" w:rsidRPr="00FF151B">
        <w:rPr>
          <w:lang w:val="en-US"/>
        </w:rPr>
        <w:t>large interleav</w:t>
      </w:r>
      <w:r w:rsidR="00055054" w:rsidRPr="00FF151B">
        <w:rPr>
          <w:lang w:val="en-US"/>
        </w:rPr>
        <w:t>ing block</w:t>
      </w:r>
      <w:r w:rsidR="00A73379" w:rsidRPr="00FF151B">
        <w:rPr>
          <w:lang w:val="en-US"/>
        </w:rPr>
        <w:t xml:space="preserve"> with single RV to spread the systematic bits across all </w:t>
      </w:r>
      <w:r w:rsidR="00B94E2E" w:rsidRPr="00FF151B">
        <w:rPr>
          <w:lang w:val="en-US"/>
        </w:rPr>
        <w:t>PUSCH bundles</w:t>
      </w:r>
      <w:r w:rsidR="00A73379" w:rsidRPr="00FF151B">
        <w:rPr>
          <w:lang w:val="en-US"/>
        </w:rPr>
        <w:t xml:space="preserve"> for </w:t>
      </w:r>
      <w:proofErr w:type="spellStart"/>
      <w:r w:rsidR="00A73379" w:rsidRPr="00FF151B">
        <w:rPr>
          <w:lang w:val="en-US"/>
        </w:rPr>
        <w:t>TBoMS</w:t>
      </w:r>
      <w:proofErr w:type="spellEnd"/>
      <w:r w:rsidR="00A73379" w:rsidRPr="00FF151B">
        <w:rPr>
          <w:lang w:val="en-US"/>
        </w:rPr>
        <w:t>. Therefore, even if one bundle is dropped, the decoding is still possible.</w:t>
      </w:r>
      <w:r w:rsidR="00FD5879" w:rsidRPr="00FF151B">
        <w:rPr>
          <w:lang w:val="en-US"/>
        </w:rPr>
        <w:t xml:space="preserve"> </w:t>
      </w:r>
    </w:p>
    <w:p w14:paraId="6D2E5B15" w14:textId="24E0D1F1" w:rsidR="00B71D3A" w:rsidRPr="00FF151B" w:rsidRDefault="00C30A28" w:rsidP="002B2E66">
      <w:pPr>
        <w:pStyle w:val="ListParagraph"/>
        <w:numPr>
          <w:ilvl w:val="0"/>
          <w:numId w:val="45"/>
        </w:numPr>
        <w:rPr>
          <w:szCs w:val="20"/>
          <w:lang w:val="en-US"/>
        </w:rPr>
      </w:pPr>
      <w:r w:rsidRPr="00FF151B">
        <w:rPr>
          <w:u w:val="single"/>
          <w:lang w:val="en-US"/>
        </w:rPr>
        <w:t xml:space="preserve">Option 2 is more suitable for </w:t>
      </w:r>
      <w:r w:rsidR="006A5010" w:rsidRPr="00FF151B">
        <w:rPr>
          <w:u w:val="single"/>
          <w:lang w:val="en-US"/>
        </w:rPr>
        <w:t>supporting the use of</w:t>
      </w:r>
      <w:r w:rsidRPr="00FF151B">
        <w:rPr>
          <w:u w:val="single"/>
          <w:lang w:val="en-US"/>
        </w:rPr>
        <w:t xml:space="preserve"> CBGs</w:t>
      </w:r>
      <w:r w:rsidRPr="00FF151B">
        <w:rPr>
          <w:lang w:val="en-US"/>
        </w:rPr>
        <w:t>: S</w:t>
      </w:r>
      <w:r w:rsidR="00FD5879" w:rsidRPr="00FF151B">
        <w:rPr>
          <w:lang w:val="en-US"/>
        </w:rPr>
        <w:t>ince a single RV is used</w:t>
      </w:r>
      <w:r w:rsidR="00B60563" w:rsidRPr="00FF151B">
        <w:rPr>
          <w:lang w:val="en-US"/>
        </w:rPr>
        <w:t xml:space="preserve"> in </w:t>
      </w:r>
      <w:r w:rsidR="00FD5879" w:rsidRPr="00FF151B">
        <w:rPr>
          <w:lang w:val="en-US"/>
        </w:rPr>
        <w:t xml:space="preserve">Option </w:t>
      </w:r>
      <w:r w:rsidR="00B60563" w:rsidRPr="00FF151B">
        <w:rPr>
          <w:lang w:val="en-US"/>
        </w:rPr>
        <w:t xml:space="preserve">2, it makes this option being more </w:t>
      </w:r>
      <w:r w:rsidR="006A5010" w:rsidRPr="00FF151B">
        <w:rPr>
          <w:lang w:val="en-US"/>
        </w:rPr>
        <w:t xml:space="preserve">suitable for supporting the </w:t>
      </w:r>
      <w:r w:rsidR="00B60563" w:rsidRPr="00FF151B">
        <w:rPr>
          <w:lang w:val="en-US"/>
        </w:rPr>
        <w:t xml:space="preserve">CBGs concept. Indeed, instead of having a CBG spread across all PUSCH bundles as in Option 1, Option 2 can keep a CBG to be transmitted on a certain PUSCH bundle, which makes the concept of retransmitting only a CBG instead of the whole TB still applicable for </w:t>
      </w:r>
      <w:proofErr w:type="spellStart"/>
      <w:r w:rsidR="00B60563" w:rsidRPr="00FF151B">
        <w:rPr>
          <w:lang w:val="en-US"/>
        </w:rPr>
        <w:t>TBoMS</w:t>
      </w:r>
      <w:proofErr w:type="spellEnd"/>
      <w:r w:rsidR="00B60563" w:rsidRPr="00FF151B">
        <w:rPr>
          <w:lang w:val="en-US"/>
        </w:rPr>
        <w:t>.</w:t>
      </w:r>
    </w:p>
    <w:p w14:paraId="6AED7ACF" w14:textId="2669203A" w:rsidR="00B71D3A" w:rsidRDefault="00B71D3A" w:rsidP="00CF1B6F">
      <w:pPr>
        <w:spacing w:line="276" w:lineRule="auto"/>
        <w:jc w:val="both"/>
      </w:pPr>
      <w:r>
        <w:t>From the above analysis, we propose the following:</w:t>
      </w:r>
    </w:p>
    <w:p w14:paraId="0F960017" w14:textId="2AB0A960" w:rsidR="000000D8" w:rsidRDefault="006A5010" w:rsidP="00CF1B6F">
      <w:pPr>
        <w:pStyle w:val="Caption"/>
        <w:jc w:val="both"/>
        <w:rPr>
          <w:bCs/>
          <w:szCs w:val="22"/>
        </w:rPr>
      </w:pPr>
      <w:bookmarkStart w:id="16" w:name="_Toc68630593"/>
      <w:r w:rsidRPr="00055054">
        <w:rPr>
          <w:szCs w:val="22"/>
        </w:rPr>
        <w:t xml:space="preserve">Proposal </w:t>
      </w:r>
      <w:r w:rsidRPr="00055054">
        <w:rPr>
          <w:szCs w:val="22"/>
        </w:rPr>
        <w:fldChar w:fldCharType="begin"/>
      </w:r>
      <w:r w:rsidRPr="00055054">
        <w:rPr>
          <w:szCs w:val="22"/>
        </w:rPr>
        <w:instrText xml:space="preserve"> SEQ Proposal \* ARABIC </w:instrText>
      </w:r>
      <w:r w:rsidRPr="00055054">
        <w:rPr>
          <w:szCs w:val="22"/>
        </w:rPr>
        <w:fldChar w:fldCharType="separate"/>
      </w:r>
      <w:r w:rsidR="00945AF9">
        <w:rPr>
          <w:noProof/>
          <w:szCs w:val="22"/>
        </w:rPr>
        <w:t>8</w:t>
      </w:r>
      <w:r w:rsidRPr="00055054">
        <w:rPr>
          <w:szCs w:val="22"/>
        </w:rPr>
        <w:fldChar w:fldCharType="end"/>
      </w:r>
      <w:r w:rsidRPr="00055054">
        <w:rPr>
          <w:szCs w:val="22"/>
        </w:rPr>
        <w:t xml:space="preserve">. </w:t>
      </w:r>
      <w:r w:rsidRPr="00055054">
        <w:rPr>
          <w:bCs/>
          <w:szCs w:val="22"/>
        </w:rPr>
        <w:t xml:space="preserve">For rate-matching the encoded bits on the resource across multiple slots for </w:t>
      </w:r>
      <w:proofErr w:type="spellStart"/>
      <w:r w:rsidRPr="00055054">
        <w:rPr>
          <w:bCs/>
          <w:szCs w:val="22"/>
        </w:rPr>
        <w:t>TBoMS</w:t>
      </w:r>
      <w:proofErr w:type="spellEnd"/>
      <w:r w:rsidRPr="00055054">
        <w:rPr>
          <w:bCs/>
          <w:szCs w:val="22"/>
        </w:rPr>
        <w:t xml:space="preserve">, the encoded bits are rate-matched on the total resource allocated for </w:t>
      </w:r>
      <w:proofErr w:type="spellStart"/>
      <w:r w:rsidRPr="00055054">
        <w:rPr>
          <w:bCs/>
          <w:szCs w:val="22"/>
        </w:rPr>
        <w:t>TBoMS</w:t>
      </w:r>
      <w:proofErr w:type="spellEnd"/>
      <w:r w:rsidRPr="00055054">
        <w:rPr>
          <w:bCs/>
          <w:szCs w:val="22"/>
        </w:rPr>
        <w:t xml:space="preserve"> across multiple slots.</w:t>
      </w:r>
      <w:bookmarkEnd w:id="16"/>
    </w:p>
    <w:p w14:paraId="273E8A03" w14:textId="77777777" w:rsidR="006A5010" w:rsidRPr="006A5010" w:rsidRDefault="006A5010" w:rsidP="00CF1B6F">
      <w:pPr>
        <w:jc w:val="both"/>
      </w:pPr>
    </w:p>
    <w:p w14:paraId="758BDBBC" w14:textId="78C9E5DB" w:rsidR="003D51C7" w:rsidRPr="004B6CCC" w:rsidRDefault="003D51C7" w:rsidP="00CF1B6F">
      <w:pPr>
        <w:pStyle w:val="Heading2"/>
        <w:spacing w:before="0" w:after="120" w:line="276" w:lineRule="auto"/>
        <w:contextualSpacing/>
        <w:jc w:val="both"/>
        <w:rPr>
          <w:lang w:val="en-US"/>
        </w:rPr>
      </w:pPr>
      <w:r w:rsidRPr="004B6CCC">
        <w:rPr>
          <w:lang w:val="en-US"/>
        </w:rPr>
        <w:t xml:space="preserve">Indication method for enabling </w:t>
      </w:r>
      <w:proofErr w:type="spellStart"/>
      <w:r w:rsidRPr="004B6CCC">
        <w:rPr>
          <w:lang w:val="en-US"/>
        </w:rPr>
        <w:t>TBoMS</w:t>
      </w:r>
      <w:proofErr w:type="spellEnd"/>
    </w:p>
    <w:p w14:paraId="4F9578C6" w14:textId="7D5FA891" w:rsidR="005C59E5" w:rsidRPr="004B6CCC" w:rsidRDefault="006A5010" w:rsidP="00CF1B6F">
      <w:pPr>
        <w:spacing w:after="120" w:line="276" w:lineRule="auto"/>
        <w:contextualSpacing/>
        <w:jc w:val="both"/>
      </w:pPr>
      <w:r w:rsidRPr="004B6CCC">
        <w:t>To</w:t>
      </w:r>
      <w:r w:rsidR="005C59E5" w:rsidRPr="004B6CCC">
        <w:t xml:space="preserve"> distinguish between multi-slot TB and the legacy single-slot TB transmission, the indication method should be applied per PUSCH scheduling/configuration. Two main options are identified:</w:t>
      </w:r>
    </w:p>
    <w:p w14:paraId="34473260" w14:textId="59FF797A" w:rsidR="005C59E5" w:rsidRPr="00FF151B" w:rsidRDefault="005C59E5" w:rsidP="002B2E66">
      <w:pPr>
        <w:pStyle w:val="ListParagraph"/>
        <w:numPr>
          <w:ilvl w:val="0"/>
          <w:numId w:val="29"/>
        </w:numPr>
        <w:rPr>
          <w:lang w:val="en-US"/>
        </w:rPr>
      </w:pPr>
      <w:r w:rsidRPr="004B6CCC">
        <w:lastRenderedPageBreak/>
        <w:t xml:space="preserve">Option 1: </w:t>
      </w:r>
      <w:r w:rsidRPr="00FF151B">
        <w:rPr>
          <w:lang w:val="en-US"/>
        </w:rPr>
        <w:t xml:space="preserve">Introducing a new field in the scheduling DCI (or an RRC parameter in case of configured grant) for the indication. </w:t>
      </w:r>
      <w:r w:rsidR="00A115DD" w:rsidRPr="00FF151B">
        <w:rPr>
          <w:lang w:val="en-US"/>
        </w:rPr>
        <w:t>Specifying t</w:t>
      </w:r>
      <w:r w:rsidRPr="00FF151B">
        <w:rPr>
          <w:lang w:val="en-US"/>
        </w:rPr>
        <w:t xml:space="preserve">his option is simple, </w:t>
      </w:r>
      <w:r w:rsidR="00A115DD" w:rsidRPr="00FF151B">
        <w:rPr>
          <w:lang w:val="en-US"/>
        </w:rPr>
        <w:t>nevertheless it may suffer from two limitations: n</w:t>
      </w:r>
      <w:r w:rsidRPr="00FF151B">
        <w:rPr>
          <w:lang w:val="en-US"/>
        </w:rPr>
        <w:t xml:space="preserve">ot only it </w:t>
      </w:r>
      <w:r w:rsidR="00A115DD" w:rsidRPr="00FF151B">
        <w:rPr>
          <w:lang w:val="en-US"/>
        </w:rPr>
        <w:t xml:space="preserve">would </w:t>
      </w:r>
      <w:r w:rsidRPr="00FF151B">
        <w:rPr>
          <w:lang w:val="en-US"/>
        </w:rPr>
        <w:t xml:space="preserve">increase the DCI payload but also </w:t>
      </w:r>
      <w:r w:rsidR="00A115DD" w:rsidRPr="00FF151B">
        <w:rPr>
          <w:lang w:val="en-US"/>
        </w:rPr>
        <w:t>would introduce a</w:t>
      </w:r>
      <w:r w:rsidRPr="00FF151B">
        <w:rPr>
          <w:lang w:val="en-US"/>
        </w:rPr>
        <w:t xml:space="preserve"> DCI field </w:t>
      </w:r>
      <w:proofErr w:type="spellStart"/>
      <w:r w:rsidR="00A115DD" w:rsidRPr="00FF151B">
        <w:rPr>
          <w:lang w:val="en-US"/>
        </w:rPr>
        <w:t>whichmay</w:t>
      </w:r>
      <w:proofErr w:type="spellEnd"/>
      <w:r w:rsidRPr="00FF151B">
        <w:rPr>
          <w:lang w:val="en-US"/>
        </w:rPr>
        <w:t xml:space="preserve"> not always </w:t>
      </w:r>
      <w:r w:rsidR="00A115DD" w:rsidRPr="00FF151B">
        <w:rPr>
          <w:lang w:val="en-US"/>
        </w:rPr>
        <w:t xml:space="preserve">be </w:t>
      </w:r>
      <w:r w:rsidRPr="00FF151B">
        <w:rPr>
          <w:lang w:val="en-US"/>
        </w:rPr>
        <w:t xml:space="preserve">useful for the UE, e.g. when the UE is not </w:t>
      </w:r>
      <w:r w:rsidR="00A115DD" w:rsidRPr="00FF151B">
        <w:rPr>
          <w:lang w:val="en-US"/>
        </w:rPr>
        <w:t>experiencing</w:t>
      </w:r>
      <w:r w:rsidRPr="00FF151B">
        <w:rPr>
          <w:lang w:val="en-US"/>
        </w:rPr>
        <w:t xml:space="preserve"> coverage shortage. It </w:t>
      </w:r>
      <w:r w:rsidR="00A115DD" w:rsidRPr="00FF151B">
        <w:rPr>
          <w:lang w:val="en-US"/>
        </w:rPr>
        <w:t>could be argued</w:t>
      </w:r>
      <w:r w:rsidRPr="00FF151B">
        <w:rPr>
          <w:lang w:val="en-US"/>
        </w:rPr>
        <w:t xml:space="preserve"> that this feature could be applied for CE UEs, even when no coverage shortage is experiences. </w:t>
      </w:r>
      <w:r w:rsidR="00A115DD" w:rsidRPr="00FF151B">
        <w:rPr>
          <w:lang w:val="en-US"/>
        </w:rPr>
        <w:t>However, t</w:t>
      </w:r>
      <w:r w:rsidRPr="00FF151B">
        <w:rPr>
          <w:lang w:val="en-US"/>
        </w:rPr>
        <w:t xml:space="preserve">he relevance of this use case is not </w:t>
      </w:r>
      <w:r w:rsidR="00A115DD" w:rsidRPr="00FF151B">
        <w:rPr>
          <w:lang w:val="en-US"/>
        </w:rPr>
        <w:t>very</w:t>
      </w:r>
      <w:r w:rsidRPr="00FF151B">
        <w:rPr>
          <w:lang w:val="en-US"/>
        </w:rPr>
        <w:t xml:space="preserve"> clear, unless specific applications are considered, e.g., URLLC (which typically already make</w:t>
      </w:r>
      <w:r w:rsidR="00A115DD" w:rsidRPr="00FF151B">
        <w:rPr>
          <w:lang w:val="en-US"/>
        </w:rPr>
        <w:t>s</w:t>
      </w:r>
      <w:r w:rsidRPr="00FF151B">
        <w:rPr>
          <w:lang w:val="en-US"/>
        </w:rPr>
        <w:t xml:space="preserve"> use of small packet size and low coding rate). </w:t>
      </w:r>
    </w:p>
    <w:p w14:paraId="2A645CAD" w14:textId="21B095B6" w:rsidR="005C59E5" w:rsidRPr="00FF151B" w:rsidRDefault="005C59E5" w:rsidP="002B2E66">
      <w:pPr>
        <w:pStyle w:val="ListParagraph"/>
        <w:numPr>
          <w:ilvl w:val="0"/>
          <w:numId w:val="29"/>
        </w:numPr>
        <w:rPr>
          <w:strike/>
          <w:lang w:val="en-US"/>
        </w:rPr>
      </w:pPr>
      <w:r w:rsidRPr="00FF151B">
        <w:rPr>
          <w:lang w:val="en-US"/>
        </w:rPr>
        <w:t xml:space="preserve">Option 2: Reusing some available field in the DCI (or an RRC parameter in case of configured grant) for triggering the feature. For example, some rows in the TDRA table can be implicitly associated with </w:t>
      </w:r>
      <w:proofErr w:type="spellStart"/>
      <w:r w:rsidR="008A0D78" w:rsidRPr="00FF151B">
        <w:rPr>
          <w:lang w:val="en-US"/>
        </w:rPr>
        <w:t>TBoMS</w:t>
      </w:r>
      <w:proofErr w:type="spellEnd"/>
      <w:r w:rsidRPr="00FF151B">
        <w:rPr>
          <w:lang w:val="en-US"/>
        </w:rPr>
        <w:t xml:space="preserve"> transmission and selected by TDRA field in the DCI. This option could limit the scheduling flexibility unless the TDRA table is extended. </w:t>
      </w:r>
    </w:p>
    <w:p w14:paraId="67441D7B" w14:textId="33FF1812" w:rsidR="005C59E5" w:rsidRPr="004B6CCC" w:rsidRDefault="005C59E5" w:rsidP="00CF1B6F">
      <w:pPr>
        <w:spacing w:after="120" w:line="276" w:lineRule="auto"/>
        <w:contextualSpacing/>
        <w:jc w:val="both"/>
      </w:pPr>
      <w:r w:rsidRPr="004B6CCC">
        <w:t>From the above discussion, it can be observed that each option has pros and cons and their applicability may depend on how the time-domain resource is indicated and determined, which need</w:t>
      </w:r>
      <w:r w:rsidR="000F5C2B">
        <w:t>s</w:t>
      </w:r>
      <w:r w:rsidRPr="004B6CCC">
        <w:t xml:space="preserve"> further discussion in RAN1.</w:t>
      </w:r>
    </w:p>
    <w:p w14:paraId="19515143" w14:textId="5E799E7F" w:rsidR="000F5C2B" w:rsidRDefault="000F5C2B" w:rsidP="00CF1B6F">
      <w:pPr>
        <w:pStyle w:val="Caption"/>
        <w:jc w:val="both"/>
      </w:pPr>
      <w:bookmarkStart w:id="17" w:name="_Toc68630594"/>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945AF9">
        <w:rPr>
          <w:noProof/>
          <w:szCs w:val="22"/>
        </w:rPr>
        <w:t>9</w:t>
      </w:r>
      <w:r w:rsidRPr="00B066E0">
        <w:rPr>
          <w:szCs w:val="22"/>
        </w:rPr>
        <w:fldChar w:fldCharType="end"/>
      </w:r>
      <w:r w:rsidRPr="00B066E0">
        <w:rPr>
          <w:szCs w:val="22"/>
        </w:rPr>
        <w:t xml:space="preserve">. </w:t>
      </w:r>
      <w:r w:rsidR="005C59E5" w:rsidRPr="004B6CCC">
        <w:t>RAN1 to specify an indication method for enabling multi-slot TB transmission per PUSCH scheduling/configuration.</w:t>
      </w:r>
      <w:bookmarkEnd w:id="17"/>
    </w:p>
    <w:p w14:paraId="12555C55" w14:textId="619B2E6F" w:rsidR="00276203" w:rsidRPr="004B6CCC" w:rsidRDefault="005C59E5" w:rsidP="00CF1B6F">
      <w:pPr>
        <w:pStyle w:val="Caption"/>
        <w:numPr>
          <w:ilvl w:val="0"/>
          <w:numId w:val="46"/>
        </w:numPr>
        <w:jc w:val="both"/>
      </w:pPr>
      <w:r w:rsidRPr="004B6CCC">
        <w:t>FFS: Details of the indication method, including introducing a new field or reusing the available field in the scheduling DCI (or RRC parameter in case of configured grant configuration), e.g. some rows in the TDRA table are used to configure for multi-slot TB transmission.</w:t>
      </w:r>
    </w:p>
    <w:p w14:paraId="01F865CA" w14:textId="77777777" w:rsidR="00C76015" w:rsidRPr="004B6CCC" w:rsidRDefault="00C76015" w:rsidP="00CF1B6F">
      <w:pPr>
        <w:jc w:val="both"/>
      </w:pPr>
    </w:p>
    <w:bookmarkEnd w:id="1"/>
    <w:p w14:paraId="10445A01" w14:textId="480CC7E1" w:rsidR="00885580" w:rsidRPr="004B6CCC" w:rsidRDefault="007820D0" w:rsidP="00CF1B6F">
      <w:pPr>
        <w:pStyle w:val="Heading1"/>
        <w:jc w:val="both"/>
        <w:rPr>
          <w:lang w:val="en-US"/>
        </w:rPr>
      </w:pPr>
      <w:r w:rsidRPr="004B6CCC">
        <w:rPr>
          <w:lang w:val="en-US"/>
        </w:rPr>
        <w:t>Conclusion</w:t>
      </w:r>
    </w:p>
    <w:p w14:paraId="6EA80FE2" w14:textId="77777777" w:rsidR="00EA1A8C" w:rsidRPr="0070037F" w:rsidRDefault="00EA1A8C" w:rsidP="00CF1B6F">
      <w:pPr>
        <w:spacing w:after="240"/>
        <w:jc w:val="both"/>
        <w:rPr>
          <w:szCs w:val="22"/>
          <w:lang w:eastAsia="zh-CN"/>
        </w:rPr>
      </w:pPr>
      <w:r w:rsidRPr="00B066E0">
        <w:rPr>
          <w:szCs w:val="22"/>
          <w:lang w:eastAsia="zh-CN"/>
        </w:rPr>
        <w:t xml:space="preserve">In this contribution, we discussed </w:t>
      </w:r>
      <w:r>
        <w:t xml:space="preserve">aspects related to the normative work necessary to provide support to multi-slot TB processing and transmission in Rel-17. </w:t>
      </w:r>
      <w:r w:rsidRPr="00B066E0">
        <w:rPr>
          <w:szCs w:val="22"/>
          <w:lang w:eastAsia="zh-CN"/>
        </w:rPr>
        <w:t>The following observations have been made:</w:t>
      </w:r>
    </w:p>
    <w:p w14:paraId="4714D84B" w14:textId="77777777" w:rsidR="00EA1A8C" w:rsidRPr="00EA1A8C" w:rsidRDefault="00EA1A8C" w:rsidP="00CF1B6F">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r w:rsidRPr="00EA1A8C">
        <w:rPr>
          <w:rFonts w:ascii="Times New Roman" w:hAnsi="Times New Roman"/>
          <w:i w:val="0"/>
          <w:iCs w:val="0"/>
          <w:sz w:val="22"/>
          <w:szCs w:val="22"/>
          <w:lang w:val="en-US" w:eastAsia="zh-CN"/>
        </w:rPr>
        <w:fldChar w:fldCharType="begin"/>
      </w:r>
      <w:r w:rsidRPr="00EA1A8C">
        <w:rPr>
          <w:rFonts w:ascii="Times New Roman" w:hAnsi="Times New Roman"/>
          <w:i w:val="0"/>
          <w:iCs w:val="0"/>
          <w:sz w:val="22"/>
          <w:szCs w:val="22"/>
          <w:lang w:val="en-US" w:eastAsia="zh-CN"/>
        </w:rPr>
        <w:instrText xml:space="preserve"> TOC \n \h \z \c "Observation" </w:instrText>
      </w:r>
      <w:r w:rsidRPr="00EA1A8C">
        <w:rPr>
          <w:rFonts w:ascii="Times New Roman" w:hAnsi="Times New Roman"/>
          <w:i w:val="0"/>
          <w:iCs w:val="0"/>
          <w:sz w:val="22"/>
          <w:szCs w:val="22"/>
          <w:lang w:val="en-US" w:eastAsia="zh-CN"/>
        </w:rPr>
        <w:fldChar w:fldCharType="separate"/>
      </w:r>
      <w:hyperlink w:anchor="_Toc68622491" w:history="1">
        <w:r w:rsidRPr="00EA1A8C">
          <w:rPr>
            <w:rStyle w:val="Hyperlink"/>
            <w:rFonts w:ascii="Times New Roman" w:hAnsi="Times New Roman"/>
            <w:b/>
            <w:bCs/>
            <w:noProof/>
          </w:rPr>
          <w:t>Observation 1. TBoMS transmission is beneficial when the throughput is traded for coverage and the more UL symbols that are used for TBoMS the better coverage that can be achieved.</w:t>
        </w:r>
      </w:hyperlink>
    </w:p>
    <w:p w14:paraId="149E8028" w14:textId="05BA7F6E" w:rsidR="00EA1A8C" w:rsidRPr="00CA4D6F" w:rsidRDefault="00EA1A8C" w:rsidP="00CF1B6F">
      <w:pPr>
        <w:spacing w:before="240" w:after="240" w:line="259" w:lineRule="auto"/>
        <w:jc w:val="both"/>
        <w:rPr>
          <w:b/>
          <w:bCs/>
          <w:szCs w:val="22"/>
          <w:lang w:eastAsia="zh-CN"/>
        </w:rPr>
      </w:pPr>
      <w:r w:rsidRPr="00EA1A8C">
        <w:rPr>
          <w:szCs w:val="22"/>
          <w:lang w:eastAsia="zh-CN"/>
        </w:rPr>
        <w:fldChar w:fldCharType="end"/>
      </w:r>
      <w:r w:rsidRPr="00B066E0">
        <w:rPr>
          <w:szCs w:val="24"/>
          <w:lang w:eastAsia="zh-CN"/>
        </w:rPr>
        <w:t>In addition, the following proposals have been made:</w:t>
      </w:r>
    </w:p>
    <w:p w14:paraId="2B23F303" w14:textId="77777777" w:rsidR="00945AF9" w:rsidRPr="00945AF9" w:rsidRDefault="00EA1A8C" w:rsidP="00945AF9">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r w:rsidRPr="00945AF9">
        <w:rPr>
          <w:rFonts w:ascii="Times New Roman" w:hAnsi="Times New Roman"/>
          <w:i w:val="0"/>
          <w:iCs w:val="0"/>
          <w:sz w:val="22"/>
          <w:szCs w:val="22"/>
          <w:lang w:val="en-US" w:eastAsia="zh-CN"/>
        </w:rPr>
        <w:fldChar w:fldCharType="begin"/>
      </w:r>
      <w:r w:rsidRPr="00945AF9">
        <w:rPr>
          <w:rFonts w:ascii="Times New Roman" w:hAnsi="Times New Roman"/>
          <w:i w:val="0"/>
          <w:iCs w:val="0"/>
          <w:sz w:val="22"/>
          <w:szCs w:val="22"/>
          <w:lang w:val="en-US" w:eastAsia="zh-CN"/>
        </w:rPr>
        <w:instrText xml:space="preserve"> TOC \n \h \z \c "Proposal" </w:instrText>
      </w:r>
      <w:r w:rsidRPr="00945AF9">
        <w:rPr>
          <w:rFonts w:ascii="Times New Roman" w:hAnsi="Times New Roman"/>
          <w:i w:val="0"/>
          <w:iCs w:val="0"/>
          <w:sz w:val="22"/>
          <w:szCs w:val="22"/>
          <w:lang w:val="en-US" w:eastAsia="zh-CN"/>
        </w:rPr>
        <w:fldChar w:fldCharType="separate"/>
      </w:r>
      <w:hyperlink w:anchor="_Toc68630586" w:history="1">
        <w:r w:rsidR="00945AF9" w:rsidRPr="00945AF9">
          <w:rPr>
            <w:rStyle w:val="Hyperlink"/>
            <w:rFonts w:ascii="Times New Roman" w:hAnsi="Times New Roman"/>
            <w:b/>
            <w:bCs/>
            <w:noProof/>
          </w:rPr>
          <w:t>Proposal 1. RAN1 should specify TBoMS as an independent feature according to WID. It should not be considered as an enhancement of neither PUSCH repetition type A nor type B, regardless of how time domain resource determination is indicated.</w:t>
        </w:r>
      </w:hyperlink>
    </w:p>
    <w:p w14:paraId="1D2E7715" w14:textId="77777777" w:rsidR="00945AF9" w:rsidRPr="00945AF9" w:rsidRDefault="00FF151B" w:rsidP="00945AF9">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30587" w:history="1">
        <w:r w:rsidR="00945AF9" w:rsidRPr="00945AF9">
          <w:rPr>
            <w:rStyle w:val="Hyperlink"/>
            <w:rFonts w:ascii="Times New Roman" w:hAnsi="Times New Roman"/>
            <w:b/>
            <w:bCs/>
            <w:noProof/>
          </w:rPr>
          <w:t>Proposal 2. For the time-domain resource allocation of TBoMS, the number of allocated symbols in each slot can be different. The design of time-domain resource allocation for TBoMS should allow the feature to leverage as much as possible the UL resource in time-domain.</w:t>
        </w:r>
      </w:hyperlink>
    </w:p>
    <w:p w14:paraId="1A9B34ED" w14:textId="77777777" w:rsidR="00945AF9" w:rsidRPr="00945AF9" w:rsidRDefault="00FF151B" w:rsidP="00945AF9">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30588" w:history="1">
        <w:r w:rsidR="00945AF9" w:rsidRPr="00945AF9">
          <w:rPr>
            <w:rStyle w:val="Hyperlink"/>
            <w:rFonts w:ascii="Times New Roman" w:hAnsi="Times New Roman"/>
            <w:b/>
            <w:bCs/>
            <w:noProof/>
          </w:rPr>
          <w:t>Proposal 3. For the time-domain resource allocation of TBoMS, non-consecutive physical slots for UL transmission are also supported for paired spectrum, unpaired spectrum and the SUL band.</w:t>
        </w:r>
      </w:hyperlink>
    </w:p>
    <w:p w14:paraId="4F4A28D6" w14:textId="77777777" w:rsidR="00945AF9" w:rsidRPr="00945AF9" w:rsidRDefault="00FF151B" w:rsidP="00945AF9">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30589" w:history="1">
        <w:r w:rsidR="00945AF9" w:rsidRPr="00945AF9">
          <w:rPr>
            <w:rStyle w:val="Hyperlink"/>
            <w:rFonts w:ascii="Times New Roman" w:hAnsi="Times New Roman"/>
            <w:b/>
            <w:bCs/>
            <w:noProof/>
          </w:rPr>
          <w:t>Proposal 4. For the time-domain resource allocation of TBoMS, if non-consecutive physical slots for UL transmission are not supported for paired spectrum, unpaired spectrum and the SUL band, then PUSCH repetition type B like TDRA must be supported for time domain resource determination.</w:t>
        </w:r>
      </w:hyperlink>
    </w:p>
    <w:p w14:paraId="6B0D712E" w14:textId="77777777" w:rsidR="00945AF9" w:rsidRPr="00945AF9" w:rsidRDefault="00FF151B" w:rsidP="00945AF9">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30590" w:history="1">
        <w:r w:rsidR="00945AF9" w:rsidRPr="00945AF9">
          <w:rPr>
            <w:rStyle w:val="Hyperlink"/>
            <w:rFonts w:ascii="Times New Roman" w:hAnsi="Times New Roman"/>
            <w:b/>
            <w:bCs/>
            <w:noProof/>
          </w:rPr>
          <w:t>Proposal 5. N</w:t>
        </w:r>
        <w:r w:rsidR="00945AF9" w:rsidRPr="00945AF9">
          <w:rPr>
            <w:rStyle w:val="Hyperlink"/>
            <w:rFonts w:ascii="Times New Roman" w:hAnsi="Times New Roman"/>
            <w:b/>
            <w:bCs/>
            <w:noProof/>
            <w:vertAlign w:val="subscript"/>
          </w:rPr>
          <w:t>Info</w:t>
        </w:r>
        <w:r w:rsidR="00945AF9" w:rsidRPr="00945AF9">
          <w:rPr>
            <w:rStyle w:val="Hyperlink"/>
            <w:rFonts w:ascii="Times New Roman" w:hAnsi="Times New Roman"/>
            <w:b/>
            <w:bCs/>
            <w:noProof/>
          </w:rPr>
          <w:t xml:space="preserve"> for TBoMS is calculated based on all REs determined across the symbols over which the TBoMS transmission is allocated.</w:t>
        </w:r>
      </w:hyperlink>
    </w:p>
    <w:p w14:paraId="7DBBF0F0" w14:textId="72421D60" w:rsidR="00945AF9" w:rsidRPr="00945AF9" w:rsidRDefault="00FF151B" w:rsidP="00945AF9">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30591" w:history="1">
        <w:r w:rsidR="00945AF9" w:rsidRPr="00945AF9">
          <w:rPr>
            <w:rStyle w:val="Hyperlink"/>
            <w:rFonts w:ascii="Times New Roman" w:hAnsi="Times New Roman"/>
            <w:b/>
            <w:bCs/>
            <w:noProof/>
          </w:rPr>
          <w:t xml:space="preserve">Proposal 6. </w:t>
        </w:r>
        <w:r w:rsidR="00945AF9" w:rsidRPr="00945AF9">
          <w:rPr>
            <w:rStyle w:val="Hyperlink"/>
            <w:rFonts w:ascii="Times New Roman" w:hAnsi="Times New Roman"/>
            <w:b/>
            <w:bCs/>
            <w:noProof/>
            <w:lang w:val="en-US"/>
          </w:rPr>
          <w:t xml:space="preserve">For </w:t>
        </w:r>
        <m:oMath>
          <m:sSubSup>
            <m:sSubSupPr>
              <m:ctrlPr>
                <w:rPr>
                  <w:rStyle w:val="Hyperlink"/>
                  <w:rFonts w:ascii="Cambria Math" w:hAnsi="Cambria Math"/>
                  <w:b/>
                  <w:bCs/>
                  <w:noProof/>
                  <w:lang w:val="en-US"/>
                </w:rPr>
              </m:ctrlPr>
            </m:sSubSupPr>
            <m:e>
              <m:r>
                <m:rPr>
                  <m:sty m:val="bi"/>
                </m:rPr>
                <w:rPr>
                  <w:rStyle w:val="Hyperlink"/>
                  <w:rFonts w:ascii="Cambria Math" w:hAnsi="Cambria Math"/>
                  <w:noProof/>
                  <w:lang w:val="en-US"/>
                </w:rPr>
                <m:t>N</m:t>
              </m:r>
            </m:e>
            <m:sub>
              <m:r>
                <m:rPr>
                  <m:sty m:val="bi"/>
                </m:rPr>
                <w:rPr>
                  <w:rStyle w:val="Hyperlink"/>
                  <w:rFonts w:ascii="Cambria Math" w:hAnsi="Cambria Math"/>
                  <w:noProof/>
                  <w:lang w:val="en-US"/>
                </w:rPr>
                <m:t>oh</m:t>
              </m:r>
            </m:sub>
            <m:sup>
              <m:r>
                <m:rPr>
                  <m:sty m:val="bi"/>
                </m:rPr>
                <w:rPr>
                  <w:rStyle w:val="Hyperlink"/>
                  <w:rFonts w:ascii="Cambria Math" w:hAnsi="Cambria Math"/>
                  <w:noProof/>
                  <w:lang w:val="en-US"/>
                </w:rPr>
                <m:t>PRB</m:t>
              </m:r>
            </m:sup>
          </m:sSubSup>
          <m:r>
            <m:rPr>
              <m:sty m:val="bi"/>
            </m:rPr>
            <w:rPr>
              <w:rStyle w:val="Hyperlink"/>
              <w:rFonts w:ascii="Cambria Math" w:hAnsi="Cambria Math"/>
              <w:noProof/>
              <w:lang w:val="en-US"/>
            </w:rPr>
            <m:t xml:space="preserve"> </m:t>
          </m:r>
        </m:oMath>
        <w:r w:rsidR="00945AF9" w:rsidRPr="00945AF9">
          <w:rPr>
            <w:rStyle w:val="Hyperlink"/>
            <w:rFonts w:ascii="Times New Roman" w:hAnsi="Times New Roman"/>
            <w:b/>
            <w:bCs/>
            <w:noProof/>
            <w:lang w:val="en-US"/>
          </w:rPr>
          <w:t xml:space="preserve">calculation for TBoMS, consider only Option 2, which also includes Option 1 (if the number of slots is used together with xOverhead to calculate </w:t>
        </w:r>
        <m:oMath>
          <m:sSubSup>
            <m:sSubSupPr>
              <m:ctrlPr>
                <w:rPr>
                  <w:rStyle w:val="Hyperlink"/>
                  <w:rFonts w:ascii="Cambria Math" w:hAnsi="Cambria Math"/>
                  <w:b/>
                  <w:bCs/>
                  <w:noProof/>
                  <w:lang w:val="en-US"/>
                </w:rPr>
              </m:ctrlPr>
            </m:sSubSupPr>
            <m:e>
              <m:r>
                <m:rPr>
                  <m:sty m:val="bi"/>
                </m:rPr>
                <w:rPr>
                  <w:rStyle w:val="Hyperlink"/>
                  <w:rFonts w:ascii="Cambria Math" w:hAnsi="Cambria Math"/>
                  <w:noProof/>
                  <w:lang w:val="en-US"/>
                </w:rPr>
                <m:t>N</m:t>
              </m:r>
            </m:e>
            <m:sub>
              <m:r>
                <m:rPr>
                  <m:sty m:val="bi"/>
                </m:rPr>
                <w:rPr>
                  <w:rStyle w:val="Hyperlink"/>
                  <w:rFonts w:ascii="Cambria Math" w:hAnsi="Cambria Math"/>
                  <w:noProof/>
                  <w:lang w:val="en-US"/>
                </w:rPr>
                <m:t>oh</m:t>
              </m:r>
            </m:sub>
            <m:sup>
              <m:r>
                <m:rPr>
                  <m:sty m:val="bi"/>
                </m:rPr>
                <w:rPr>
                  <w:rStyle w:val="Hyperlink"/>
                  <w:rFonts w:ascii="Cambria Math" w:hAnsi="Cambria Math"/>
                  <w:noProof/>
                  <w:lang w:val="en-US"/>
                </w:rPr>
                <m:t>PRB</m:t>
              </m:r>
            </m:sup>
          </m:sSubSup>
        </m:oMath>
        <w:r w:rsidR="00945AF9" w:rsidRPr="00945AF9">
          <w:rPr>
            <w:rStyle w:val="Hyperlink"/>
            <w:rFonts w:ascii="Times New Roman" w:hAnsi="Times New Roman"/>
            <w:b/>
            <w:bCs/>
            <w:noProof/>
            <w:lang w:val="en-US"/>
          </w:rPr>
          <w:t xml:space="preserve">), and focus the discussion on whether the number of slots or symbols should be used to calculate </w:t>
        </w:r>
        <m:oMath>
          <m:sSubSup>
            <m:sSubSupPr>
              <m:ctrlPr>
                <w:rPr>
                  <w:rStyle w:val="Hyperlink"/>
                  <w:rFonts w:ascii="Cambria Math" w:hAnsi="Cambria Math"/>
                  <w:b/>
                  <w:bCs/>
                  <w:noProof/>
                  <w:lang w:val="en-US"/>
                </w:rPr>
              </m:ctrlPr>
            </m:sSubSupPr>
            <m:e>
              <m:r>
                <m:rPr>
                  <m:sty m:val="bi"/>
                </m:rPr>
                <w:rPr>
                  <w:rStyle w:val="Hyperlink"/>
                  <w:rFonts w:ascii="Cambria Math" w:hAnsi="Cambria Math"/>
                  <w:noProof/>
                  <w:lang w:val="en-US"/>
                </w:rPr>
                <m:t>N</m:t>
              </m:r>
            </m:e>
            <m:sub>
              <m:r>
                <m:rPr>
                  <m:sty m:val="bi"/>
                </m:rPr>
                <w:rPr>
                  <w:rStyle w:val="Hyperlink"/>
                  <w:rFonts w:ascii="Cambria Math" w:hAnsi="Cambria Math"/>
                  <w:noProof/>
                  <w:lang w:val="en-US"/>
                </w:rPr>
                <m:t>oh</m:t>
              </m:r>
            </m:sub>
            <m:sup>
              <m:r>
                <m:rPr>
                  <m:sty m:val="bi"/>
                </m:rPr>
                <w:rPr>
                  <w:rStyle w:val="Hyperlink"/>
                  <w:rFonts w:ascii="Cambria Math" w:hAnsi="Cambria Math"/>
                  <w:noProof/>
                  <w:lang w:val="en-US"/>
                </w:rPr>
                <m:t>PRB</m:t>
              </m:r>
            </m:sup>
          </m:sSubSup>
        </m:oMath>
        <w:r w:rsidR="00945AF9" w:rsidRPr="00945AF9">
          <w:rPr>
            <w:rStyle w:val="Hyperlink"/>
            <w:rFonts w:ascii="Times New Roman" w:hAnsi="Times New Roman"/>
            <w:b/>
            <w:bCs/>
            <w:noProof/>
          </w:rPr>
          <w:t>.</w:t>
        </w:r>
      </w:hyperlink>
    </w:p>
    <w:p w14:paraId="2E171183" w14:textId="524D92F4" w:rsidR="00945AF9" w:rsidRPr="00945AF9" w:rsidRDefault="00FF151B" w:rsidP="00945AF9">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30592" w:history="1">
        <w:r w:rsidR="00945AF9" w:rsidRPr="00945AF9">
          <w:rPr>
            <w:rStyle w:val="Hyperlink"/>
            <w:rFonts w:ascii="Times New Roman" w:hAnsi="Times New Roman"/>
            <w:b/>
            <w:bCs/>
            <w:noProof/>
          </w:rPr>
          <w:t xml:space="preserve">Proposal 7. </w:t>
        </w:r>
        <w:r w:rsidR="00945AF9" w:rsidRPr="00945AF9">
          <w:rPr>
            <w:rFonts w:ascii="Times New Roman" w:hAnsi="Times New Roman"/>
            <w:b/>
            <w:bCs/>
            <w:szCs w:val="22"/>
          </w:rPr>
          <w:t xml:space="preserve">For </w:t>
        </w:r>
        <m:oMath>
          <m:sSubSup>
            <m:sSubSupPr>
              <m:ctrlPr>
                <w:rPr>
                  <w:rFonts w:ascii="Cambria Math" w:hAnsi="Cambria Math"/>
                  <w:b/>
                  <w:bCs/>
                  <w:i w:val="0"/>
                  <w:iCs w:val="0"/>
                  <w:szCs w:val="22"/>
                </w:rPr>
              </m:ctrlPr>
            </m:sSubSupPr>
            <m:e>
              <m:r>
                <m:rPr>
                  <m:sty m:val="bi"/>
                </m:rPr>
                <w:rPr>
                  <w:rFonts w:ascii="Cambria Math" w:hAnsi="Cambria Math"/>
                  <w:szCs w:val="22"/>
                </w:rPr>
                <m:t>N</m:t>
              </m:r>
            </m:e>
            <m:sub>
              <m:r>
                <m:rPr>
                  <m:sty m:val="bi"/>
                </m:rPr>
                <w:rPr>
                  <w:rFonts w:ascii="Cambria Math" w:hAnsi="Cambria Math"/>
                  <w:szCs w:val="22"/>
                </w:rPr>
                <m:t>oh</m:t>
              </m:r>
            </m:sub>
            <m:sup>
              <m:r>
                <m:rPr>
                  <m:sty m:val="bi"/>
                </m:rPr>
                <w:rPr>
                  <w:rFonts w:ascii="Cambria Math" w:hAnsi="Cambria Math"/>
                  <w:szCs w:val="22"/>
                </w:rPr>
                <m:t>PRB</m:t>
              </m:r>
            </m:sup>
          </m:sSubSup>
          <m:r>
            <m:rPr>
              <m:sty m:val="bi"/>
            </m:rPr>
            <w:rPr>
              <w:rFonts w:ascii="Cambria Math" w:hAnsi="Cambria Math"/>
              <w:szCs w:val="22"/>
            </w:rPr>
            <m:t xml:space="preserve"> </m:t>
          </m:r>
        </m:oMath>
        <w:r w:rsidR="00945AF9" w:rsidRPr="00945AF9">
          <w:rPr>
            <w:rFonts w:ascii="Times New Roman" w:hAnsi="Times New Roman"/>
            <w:b/>
            <w:bCs/>
            <w:szCs w:val="22"/>
          </w:rPr>
          <w:t xml:space="preserve">calculation for TBoMS, </w:t>
        </w:r>
        <m:oMath>
          <m:sSubSup>
            <m:sSubSupPr>
              <m:ctrlPr>
                <w:rPr>
                  <w:rFonts w:ascii="Cambria Math" w:hAnsi="Cambria Math"/>
                  <w:b/>
                  <w:bCs/>
                  <w:i w:val="0"/>
                  <w:iCs w:val="0"/>
                  <w:szCs w:val="22"/>
                </w:rPr>
              </m:ctrlPr>
            </m:sSubSupPr>
            <m:e>
              <m:r>
                <m:rPr>
                  <m:sty m:val="bi"/>
                </m:rPr>
                <w:rPr>
                  <w:rFonts w:ascii="Cambria Math" w:hAnsi="Cambria Math"/>
                  <w:szCs w:val="22"/>
                </w:rPr>
                <m:t>N</m:t>
              </m:r>
            </m:e>
            <m:sub>
              <m:r>
                <m:rPr>
                  <m:sty m:val="bi"/>
                </m:rPr>
                <w:rPr>
                  <w:rFonts w:ascii="Cambria Math" w:hAnsi="Cambria Math"/>
                  <w:szCs w:val="22"/>
                </w:rPr>
                <m:t>oh</m:t>
              </m:r>
            </m:sub>
            <m:sup>
              <m:r>
                <m:rPr>
                  <m:sty m:val="bi"/>
                </m:rPr>
                <w:rPr>
                  <w:rFonts w:ascii="Cambria Math" w:hAnsi="Cambria Math"/>
                  <w:szCs w:val="22"/>
                </w:rPr>
                <m:t>PRB</m:t>
              </m:r>
            </m:sup>
          </m:sSubSup>
        </m:oMath>
        <w:r w:rsidR="00945AF9" w:rsidRPr="00945AF9">
          <w:rPr>
            <w:rFonts w:ascii="Times New Roman" w:hAnsi="Times New Roman"/>
            <w:b/>
            <w:bCs/>
            <w:szCs w:val="22"/>
          </w:rPr>
          <w:t xml:space="preserve"> is calculated depending on both xOverhead and the number of symbols over which the TBoMS transmission is allocated.</w:t>
        </w:r>
      </w:hyperlink>
    </w:p>
    <w:p w14:paraId="46079ED7" w14:textId="77777777" w:rsidR="00945AF9" w:rsidRPr="00945AF9" w:rsidRDefault="00FF151B" w:rsidP="00945AF9">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30593" w:history="1">
        <w:r w:rsidR="00945AF9" w:rsidRPr="00945AF9">
          <w:rPr>
            <w:rStyle w:val="Hyperlink"/>
            <w:rFonts w:ascii="Times New Roman" w:hAnsi="Times New Roman"/>
            <w:b/>
            <w:bCs/>
            <w:noProof/>
          </w:rPr>
          <w:t>Proposal 8. For rate-matching the encoded bits on the resource across multiple slots for TBoMS, the encoded bits are rate-matched on the total resource allocated for TBoMS across multiple slots.</w:t>
        </w:r>
      </w:hyperlink>
    </w:p>
    <w:p w14:paraId="2D656630" w14:textId="77777777" w:rsidR="00945AF9" w:rsidRPr="00945AF9" w:rsidRDefault="00FF151B" w:rsidP="00945AF9">
      <w:pPr>
        <w:pStyle w:val="TableofFigures"/>
        <w:tabs>
          <w:tab w:val="right" w:leader="dot" w:pos="9629"/>
        </w:tabs>
        <w:spacing w:after="120" w:line="276" w:lineRule="auto"/>
        <w:jc w:val="both"/>
        <w:rPr>
          <w:rFonts w:ascii="Times New Roman" w:eastAsiaTheme="minorEastAsia" w:hAnsi="Times New Roman"/>
          <w:b/>
          <w:bCs/>
          <w:i w:val="0"/>
          <w:iCs w:val="0"/>
          <w:noProof/>
          <w:sz w:val="22"/>
          <w:szCs w:val="22"/>
          <w:lang w:val="fr-FR" w:eastAsia="fr-FR"/>
        </w:rPr>
      </w:pPr>
      <w:hyperlink w:anchor="_Toc68630594" w:history="1">
        <w:r w:rsidR="00945AF9" w:rsidRPr="00945AF9">
          <w:rPr>
            <w:rStyle w:val="Hyperlink"/>
            <w:rFonts w:ascii="Times New Roman" w:hAnsi="Times New Roman"/>
            <w:b/>
            <w:bCs/>
            <w:noProof/>
          </w:rPr>
          <w:t>Proposal 9. RAN1 to specify an indication method for enabling multi-slot TB transmission per PUSCH scheduling/configuration.</w:t>
        </w:r>
      </w:hyperlink>
    </w:p>
    <w:p w14:paraId="0FA0DBB1" w14:textId="260E0F3D" w:rsidR="0048792B" w:rsidRPr="0048792B" w:rsidRDefault="00EA1A8C" w:rsidP="00945AF9">
      <w:pPr>
        <w:pStyle w:val="Caption"/>
        <w:numPr>
          <w:ilvl w:val="0"/>
          <w:numId w:val="46"/>
        </w:numPr>
        <w:jc w:val="both"/>
        <w:rPr>
          <w:i/>
          <w:iCs/>
        </w:rPr>
      </w:pPr>
      <w:r w:rsidRPr="00945AF9">
        <w:rPr>
          <w:b w:val="0"/>
          <w:szCs w:val="22"/>
          <w:lang w:eastAsia="zh-CN"/>
        </w:rPr>
        <w:fldChar w:fldCharType="end"/>
      </w:r>
      <w:r w:rsidR="0048792B" w:rsidRPr="0048792B">
        <w:rPr>
          <w:i/>
          <w:iCs/>
        </w:rPr>
        <w:t>FFS: Details of the indication method, including introducing a new field or reusing the available field in the scheduling DCI (or RRC parameter in case of configured grant configuration), e.g. some rows in the TDRA table are used to configure for multi-slot TB transmission.</w:t>
      </w:r>
    </w:p>
    <w:p w14:paraId="60860DF0" w14:textId="2918DA29" w:rsidR="00EA1A8C" w:rsidRPr="0070037F" w:rsidRDefault="00EA1A8C" w:rsidP="00CF1B6F">
      <w:pPr>
        <w:spacing w:after="240"/>
        <w:jc w:val="both"/>
        <w:rPr>
          <w:szCs w:val="22"/>
          <w:lang w:eastAsia="zh-CN"/>
        </w:rPr>
      </w:pPr>
    </w:p>
    <w:p w14:paraId="53CD9119" w14:textId="5206E1F5" w:rsidR="00885580" w:rsidRPr="004B6CCC" w:rsidRDefault="00885580" w:rsidP="00CF1B6F">
      <w:pPr>
        <w:pStyle w:val="Heading1"/>
        <w:numPr>
          <w:ilvl w:val="0"/>
          <w:numId w:val="0"/>
        </w:numPr>
        <w:jc w:val="both"/>
        <w:rPr>
          <w:lang w:val="en-US"/>
        </w:rPr>
      </w:pPr>
      <w:r w:rsidRPr="004B6CCC">
        <w:rPr>
          <w:lang w:val="en-US"/>
        </w:rPr>
        <w:t>References</w:t>
      </w:r>
    </w:p>
    <w:p w14:paraId="05B43E52" w14:textId="77777777" w:rsidR="007E285C" w:rsidRPr="004B6CCC" w:rsidRDefault="007E285C" w:rsidP="002B2E66">
      <w:pPr>
        <w:pStyle w:val="ListParagraph"/>
        <w:numPr>
          <w:ilvl w:val="0"/>
          <w:numId w:val="27"/>
        </w:numPr>
      </w:pPr>
      <w:bookmarkStart w:id="18" w:name="_Ref61377968"/>
      <w:bookmarkStart w:id="19" w:name="_Ref68078831"/>
      <w:r w:rsidRPr="004B6CCC">
        <w:t>R</w:t>
      </w:r>
      <w:bookmarkEnd w:id="18"/>
      <w:r w:rsidRPr="004B6CCC">
        <w:t>P-202928</w:t>
      </w:r>
      <w:r w:rsidRPr="004B6CCC">
        <w:tab/>
        <w:t xml:space="preserve">New WID on NR </w:t>
      </w:r>
      <w:proofErr w:type="spellStart"/>
      <w:r w:rsidRPr="004B6CCC">
        <w:t>coverage</w:t>
      </w:r>
      <w:proofErr w:type="spellEnd"/>
      <w:r w:rsidRPr="004B6CCC">
        <w:t xml:space="preserve"> </w:t>
      </w:r>
      <w:proofErr w:type="spellStart"/>
      <w:r w:rsidRPr="004B6CCC">
        <w:t>enhancements</w:t>
      </w:r>
      <w:proofErr w:type="spellEnd"/>
      <w:r w:rsidRPr="004B6CCC">
        <w:t>, China Telecom (</w:t>
      </w:r>
      <w:proofErr w:type="spellStart"/>
      <w:r w:rsidRPr="004B6CCC">
        <w:t>moderator</w:t>
      </w:r>
      <w:proofErr w:type="spellEnd"/>
      <w:r w:rsidRPr="004B6CCC">
        <w:t xml:space="preserve">), </w:t>
      </w:r>
      <w:proofErr w:type="spellStart"/>
      <w:r w:rsidRPr="004B6CCC">
        <w:t>December</w:t>
      </w:r>
      <w:proofErr w:type="spellEnd"/>
      <w:r w:rsidRPr="004B6CCC">
        <w:t xml:space="preserve"> 2020.</w:t>
      </w:r>
      <w:bookmarkEnd w:id="19"/>
    </w:p>
    <w:p w14:paraId="53F254AF" w14:textId="0B4DF269" w:rsidR="0007389D" w:rsidRPr="004B6CCC" w:rsidRDefault="00783C94" w:rsidP="002B2E66">
      <w:pPr>
        <w:pStyle w:val="ListParagraph"/>
        <w:numPr>
          <w:ilvl w:val="0"/>
          <w:numId w:val="27"/>
        </w:numPr>
      </w:pPr>
      <w:bookmarkStart w:id="20" w:name="_Ref68078900"/>
      <w:r w:rsidRPr="004B6CCC">
        <w:t>R1-2101711</w:t>
      </w:r>
      <w:r w:rsidRPr="004B6CCC">
        <w:tab/>
        <w:t xml:space="preserve">Transport </w:t>
      </w:r>
      <w:proofErr w:type="spellStart"/>
      <w:r w:rsidRPr="004B6CCC">
        <w:t>block</w:t>
      </w:r>
      <w:proofErr w:type="spellEnd"/>
      <w:r w:rsidRPr="004B6CCC">
        <w:t xml:space="preserve"> </w:t>
      </w:r>
      <w:proofErr w:type="spellStart"/>
      <w:r w:rsidRPr="004B6CCC">
        <w:t>processing</w:t>
      </w:r>
      <w:proofErr w:type="spellEnd"/>
      <w:r w:rsidRPr="004B6CCC">
        <w:t xml:space="preserve"> for PUSCH </w:t>
      </w:r>
      <w:proofErr w:type="spellStart"/>
      <w:r w:rsidRPr="004B6CCC">
        <w:t>coverage</w:t>
      </w:r>
      <w:proofErr w:type="spellEnd"/>
      <w:r w:rsidRPr="004B6CCC">
        <w:t xml:space="preserve"> </w:t>
      </w:r>
      <w:proofErr w:type="spellStart"/>
      <w:r w:rsidRPr="004B6CCC">
        <w:t>enhancements</w:t>
      </w:r>
      <w:proofErr w:type="spellEnd"/>
      <w:r w:rsidRPr="004B6CCC">
        <w:t xml:space="preserve">, Nokia/NSB, </w:t>
      </w:r>
      <w:proofErr w:type="spellStart"/>
      <w:r w:rsidRPr="004B6CCC">
        <w:t>January</w:t>
      </w:r>
      <w:proofErr w:type="spellEnd"/>
      <w:r w:rsidRPr="004B6CCC">
        <w:t xml:space="preserve"> 2021.</w:t>
      </w:r>
      <w:bookmarkEnd w:id="20"/>
    </w:p>
    <w:sectPr w:rsidR="0007389D" w:rsidRPr="004B6CC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EF64A" w14:textId="77777777" w:rsidR="00E3028C" w:rsidRDefault="00E3028C">
      <w:r>
        <w:separator/>
      </w:r>
    </w:p>
  </w:endnote>
  <w:endnote w:type="continuationSeparator" w:id="0">
    <w:p w14:paraId="2743FBF3" w14:textId="77777777" w:rsidR="00E3028C" w:rsidRDefault="00E3028C">
      <w:r>
        <w:continuationSeparator/>
      </w:r>
    </w:p>
  </w:endnote>
  <w:endnote w:type="continuationNotice" w:id="1">
    <w:p w14:paraId="14372929" w14:textId="77777777" w:rsidR="00E3028C" w:rsidRDefault="00E30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BC11B" w14:textId="77777777" w:rsidR="00E3028C" w:rsidRDefault="00E3028C">
      <w:r>
        <w:separator/>
      </w:r>
    </w:p>
  </w:footnote>
  <w:footnote w:type="continuationSeparator" w:id="0">
    <w:p w14:paraId="68E181C2" w14:textId="77777777" w:rsidR="00E3028C" w:rsidRDefault="00E3028C">
      <w:r>
        <w:continuationSeparator/>
      </w:r>
    </w:p>
  </w:footnote>
  <w:footnote w:type="continuationNotice" w:id="1">
    <w:p w14:paraId="4989B8DC" w14:textId="77777777" w:rsidR="00E3028C" w:rsidRDefault="00E302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154DBC"/>
    <w:multiLevelType w:val="hybridMultilevel"/>
    <w:tmpl w:val="D662FC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A0405"/>
    <w:multiLevelType w:val="hybridMultilevel"/>
    <w:tmpl w:val="CCEE7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5B3E92"/>
    <w:multiLevelType w:val="hybridMultilevel"/>
    <w:tmpl w:val="39A4D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1E096C"/>
    <w:multiLevelType w:val="hybridMultilevel"/>
    <w:tmpl w:val="3042C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CE74E1"/>
    <w:multiLevelType w:val="hybridMultilevel"/>
    <w:tmpl w:val="700AA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F7B6A1E"/>
    <w:multiLevelType w:val="hybridMultilevel"/>
    <w:tmpl w:val="8272C890"/>
    <w:lvl w:ilvl="0" w:tplc="F18A01F0">
      <w:start w:val="1"/>
      <w:numFmt w:val="bullet"/>
      <w:lvlText w:val=""/>
      <w:lvlJc w:val="left"/>
      <w:pPr>
        <w:tabs>
          <w:tab w:val="num" w:pos="720"/>
        </w:tabs>
        <w:ind w:left="720" w:hanging="360"/>
      </w:pPr>
      <w:rPr>
        <w:rFonts w:ascii="Symbol" w:hAnsi="Symbol" w:hint="default"/>
      </w:rPr>
    </w:lvl>
    <w:lvl w:ilvl="1" w:tplc="C0E6B0B6">
      <w:numFmt w:val="bullet"/>
      <w:lvlText w:val=""/>
      <w:lvlJc w:val="left"/>
      <w:pPr>
        <w:tabs>
          <w:tab w:val="num" w:pos="1440"/>
        </w:tabs>
        <w:ind w:left="1440" w:hanging="360"/>
      </w:pPr>
      <w:rPr>
        <w:rFonts w:ascii="Wingdings" w:hAnsi="Wingdings" w:hint="default"/>
      </w:rPr>
    </w:lvl>
    <w:lvl w:ilvl="2" w:tplc="B10A50BA" w:tentative="1">
      <w:start w:val="1"/>
      <w:numFmt w:val="bullet"/>
      <w:lvlText w:val=""/>
      <w:lvlJc w:val="left"/>
      <w:pPr>
        <w:tabs>
          <w:tab w:val="num" w:pos="2160"/>
        </w:tabs>
        <w:ind w:left="2160" w:hanging="360"/>
      </w:pPr>
      <w:rPr>
        <w:rFonts w:ascii="Symbol" w:hAnsi="Symbol" w:hint="default"/>
      </w:rPr>
    </w:lvl>
    <w:lvl w:ilvl="3" w:tplc="5AA619B6" w:tentative="1">
      <w:start w:val="1"/>
      <w:numFmt w:val="bullet"/>
      <w:lvlText w:val=""/>
      <w:lvlJc w:val="left"/>
      <w:pPr>
        <w:tabs>
          <w:tab w:val="num" w:pos="2880"/>
        </w:tabs>
        <w:ind w:left="2880" w:hanging="360"/>
      </w:pPr>
      <w:rPr>
        <w:rFonts w:ascii="Symbol" w:hAnsi="Symbol" w:hint="default"/>
      </w:rPr>
    </w:lvl>
    <w:lvl w:ilvl="4" w:tplc="C5BC3FFA" w:tentative="1">
      <w:start w:val="1"/>
      <w:numFmt w:val="bullet"/>
      <w:lvlText w:val=""/>
      <w:lvlJc w:val="left"/>
      <w:pPr>
        <w:tabs>
          <w:tab w:val="num" w:pos="3600"/>
        </w:tabs>
        <w:ind w:left="3600" w:hanging="360"/>
      </w:pPr>
      <w:rPr>
        <w:rFonts w:ascii="Symbol" w:hAnsi="Symbol" w:hint="default"/>
      </w:rPr>
    </w:lvl>
    <w:lvl w:ilvl="5" w:tplc="ACA852FE" w:tentative="1">
      <w:start w:val="1"/>
      <w:numFmt w:val="bullet"/>
      <w:lvlText w:val=""/>
      <w:lvlJc w:val="left"/>
      <w:pPr>
        <w:tabs>
          <w:tab w:val="num" w:pos="4320"/>
        </w:tabs>
        <w:ind w:left="4320" w:hanging="360"/>
      </w:pPr>
      <w:rPr>
        <w:rFonts w:ascii="Symbol" w:hAnsi="Symbol" w:hint="default"/>
      </w:rPr>
    </w:lvl>
    <w:lvl w:ilvl="6" w:tplc="6A30162E" w:tentative="1">
      <w:start w:val="1"/>
      <w:numFmt w:val="bullet"/>
      <w:lvlText w:val=""/>
      <w:lvlJc w:val="left"/>
      <w:pPr>
        <w:tabs>
          <w:tab w:val="num" w:pos="5040"/>
        </w:tabs>
        <w:ind w:left="5040" w:hanging="360"/>
      </w:pPr>
      <w:rPr>
        <w:rFonts w:ascii="Symbol" w:hAnsi="Symbol" w:hint="default"/>
      </w:rPr>
    </w:lvl>
    <w:lvl w:ilvl="7" w:tplc="4DDC4084" w:tentative="1">
      <w:start w:val="1"/>
      <w:numFmt w:val="bullet"/>
      <w:lvlText w:val=""/>
      <w:lvlJc w:val="left"/>
      <w:pPr>
        <w:tabs>
          <w:tab w:val="num" w:pos="5760"/>
        </w:tabs>
        <w:ind w:left="5760" w:hanging="360"/>
      </w:pPr>
      <w:rPr>
        <w:rFonts w:ascii="Symbol" w:hAnsi="Symbol" w:hint="default"/>
      </w:rPr>
    </w:lvl>
    <w:lvl w:ilvl="8" w:tplc="5D36629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FF6433"/>
    <w:multiLevelType w:val="hybridMultilevel"/>
    <w:tmpl w:val="ABA8D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2052F6"/>
    <w:multiLevelType w:val="hybridMultilevel"/>
    <w:tmpl w:val="D8140B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9F96E13"/>
    <w:multiLevelType w:val="hybridMultilevel"/>
    <w:tmpl w:val="05CCA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D804B7E"/>
    <w:multiLevelType w:val="hybridMultilevel"/>
    <w:tmpl w:val="2E74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3A1CE8"/>
    <w:multiLevelType w:val="hybridMultilevel"/>
    <w:tmpl w:val="47F28F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B62CFE"/>
    <w:multiLevelType w:val="hybridMultilevel"/>
    <w:tmpl w:val="B2A60BC6"/>
    <w:lvl w:ilvl="0" w:tplc="01D21106">
      <w:start w:val="1"/>
      <w:numFmt w:val="bullet"/>
      <w:lvlText w:val="•"/>
      <w:lvlJc w:val="left"/>
      <w:pPr>
        <w:tabs>
          <w:tab w:val="num" w:pos="720"/>
        </w:tabs>
        <w:ind w:left="720" w:hanging="360"/>
      </w:pPr>
      <w:rPr>
        <w:rFonts w:ascii="Arial" w:hAnsi="Arial" w:hint="default"/>
      </w:rPr>
    </w:lvl>
    <w:lvl w:ilvl="1" w:tplc="6E64721A">
      <w:numFmt w:val="bullet"/>
      <w:lvlText w:val="o"/>
      <w:lvlJc w:val="left"/>
      <w:pPr>
        <w:tabs>
          <w:tab w:val="num" w:pos="1440"/>
        </w:tabs>
        <w:ind w:left="1440" w:hanging="360"/>
      </w:pPr>
      <w:rPr>
        <w:rFonts w:ascii="Courier New" w:hAnsi="Courier New" w:hint="default"/>
      </w:rPr>
    </w:lvl>
    <w:lvl w:ilvl="2" w:tplc="E72E5012" w:tentative="1">
      <w:start w:val="1"/>
      <w:numFmt w:val="bullet"/>
      <w:lvlText w:val="•"/>
      <w:lvlJc w:val="left"/>
      <w:pPr>
        <w:tabs>
          <w:tab w:val="num" w:pos="2160"/>
        </w:tabs>
        <w:ind w:left="2160" w:hanging="360"/>
      </w:pPr>
      <w:rPr>
        <w:rFonts w:ascii="Arial" w:hAnsi="Arial" w:hint="default"/>
      </w:rPr>
    </w:lvl>
    <w:lvl w:ilvl="3" w:tplc="5CAA6AB0" w:tentative="1">
      <w:start w:val="1"/>
      <w:numFmt w:val="bullet"/>
      <w:lvlText w:val="•"/>
      <w:lvlJc w:val="left"/>
      <w:pPr>
        <w:tabs>
          <w:tab w:val="num" w:pos="2880"/>
        </w:tabs>
        <w:ind w:left="2880" w:hanging="360"/>
      </w:pPr>
      <w:rPr>
        <w:rFonts w:ascii="Arial" w:hAnsi="Arial" w:hint="default"/>
      </w:rPr>
    </w:lvl>
    <w:lvl w:ilvl="4" w:tplc="4B8EE5D2" w:tentative="1">
      <w:start w:val="1"/>
      <w:numFmt w:val="bullet"/>
      <w:lvlText w:val="•"/>
      <w:lvlJc w:val="left"/>
      <w:pPr>
        <w:tabs>
          <w:tab w:val="num" w:pos="3600"/>
        </w:tabs>
        <w:ind w:left="3600" w:hanging="360"/>
      </w:pPr>
      <w:rPr>
        <w:rFonts w:ascii="Arial" w:hAnsi="Arial" w:hint="default"/>
      </w:rPr>
    </w:lvl>
    <w:lvl w:ilvl="5" w:tplc="2A241230" w:tentative="1">
      <w:start w:val="1"/>
      <w:numFmt w:val="bullet"/>
      <w:lvlText w:val="•"/>
      <w:lvlJc w:val="left"/>
      <w:pPr>
        <w:tabs>
          <w:tab w:val="num" w:pos="4320"/>
        </w:tabs>
        <w:ind w:left="4320" w:hanging="360"/>
      </w:pPr>
      <w:rPr>
        <w:rFonts w:ascii="Arial" w:hAnsi="Arial" w:hint="default"/>
      </w:rPr>
    </w:lvl>
    <w:lvl w:ilvl="6" w:tplc="0C325428" w:tentative="1">
      <w:start w:val="1"/>
      <w:numFmt w:val="bullet"/>
      <w:lvlText w:val="•"/>
      <w:lvlJc w:val="left"/>
      <w:pPr>
        <w:tabs>
          <w:tab w:val="num" w:pos="5040"/>
        </w:tabs>
        <w:ind w:left="5040" w:hanging="360"/>
      </w:pPr>
      <w:rPr>
        <w:rFonts w:ascii="Arial" w:hAnsi="Arial" w:hint="default"/>
      </w:rPr>
    </w:lvl>
    <w:lvl w:ilvl="7" w:tplc="D4987AE0" w:tentative="1">
      <w:start w:val="1"/>
      <w:numFmt w:val="bullet"/>
      <w:lvlText w:val="•"/>
      <w:lvlJc w:val="left"/>
      <w:pPr>
        <w:tabs>
          <w:tab w:val="num" w:pos="5760"/>
        </w:tabs>
        <w:ind w:left="5760" w:hanging="360"/>
      </w:pPr>
      <w:rPr>
        <w:rFonts w:ascii="Arial" w:hAnsi="Arial" w:hint="default"/>
      </w:rPr>
    </w:lvl>
    <w:lvl w:ilvl="8" w:tplc="4C9448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4472049"/>
    <w:multiLevelType w:val="hybridMultilevel"/>
    <w:tmpl w:val="7F42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6857E5D"/>
    <w:multiLevelType w:val="hybridMultilevel"/>
    <w:tmpl w:val="26F0145E"/>
    <w:lvl w:ilvl="0" w:tplc="C1D0F5CA">
      <w:start w:val="1"/>
      <w:numFmt w:val="bullet"/>
      <w:lvlText w:val=""/>
      <w:lvlJc w:val="left"/>
      <w:pPr>
        <w:tabs>
          <w:tab w:val="num" w:pos="720"/>
        </w:tabs>
        <w:ind w:left="720" w:hanging="360"/>
      </w:pPr>
      <w:rPr>
        <w:rFonts w:ascii="Symbol" w:hAnsi="Symbol" w:hint="default"/>
      </w:rPr>
    </w:lvl>
    <w:lvl w:ilvl="1" w:tplc="E390B9A8">
      <w:numFmt w:val="bullet"/>
      <w:lvlText w:val="o"/>
      <w:lvlJc w:val="left"/>
      <w:pPr>
        <w:tabs>
          <w:tab w:val="num" w:pos="1440"/>
        </w:tabs>
        <w:ind w:left="1440" w:hanging="360"/>
      </w:pPr>
      <w:rPr>
        <w:rFonts w:ascii="Courier New" w:hAnsi="Courier New" w:hint="default"/>
      </w:rPr>
    </w:lvl>
    <w:lvl w:ilvl="2" w:tplc="E4E6D572" w:tentative="1">
      <w:start w:val="1"/>
      <w:numFmt w:val="bullet"/>
      <w:lvlText w:val=""/>
      <w:lvlJc w:val="left"/>
      <w:pPr>
        <w:tabs>
          <w:tab w:val="num" w:pos="2160"/>
        </w:tabs>
        <w:ind w:left="2160" w:hanging="360"/>
      </w:pPr>
      <w:rPr>
        <w:rFonts w:ascii="Symbol" w:hAnsi="Symbol" w:hint="default"/>
      </w:rPr>
    </w:lvl>
    <w:lvl w:ilvl="3" w:tplc="271A7ACA" w:tentative="1">
      <w:start w:val="1"/>
      <w:numFmt w:val="bullet"/>
      <w:lvlText w:val=""/>
      <w:lvlJc w:val="left"/>
      <w:pPr>
        <w:tabs>
          <w:tab w:val="num" w:pos="2880"/>
        </w:tabs>
        <w:ind w:left="2880" w:hanging="360"/>
      </w:pPr>
      <w:rPr>
        <w:rFonts w:ascii="Symbol" w:hAnsi="Symbol" w:hint="default"/>
      </w:rPr>
    </w:lvl>
    <w:lvl w:ilvl="4" w:tplc="0E50999E" w:tentative="1">
      <w:start w:val="1"/>
      <w:numFmt w:val="bullet"/>
      <w:lvlText w:val=""/>
      <w:lvlJc w:val="left"/>
      <w:pPr>
        <w:tabs>
          <w:tab w:val="num" w:pos="3600"/>
        </w:tabs>
        <w:ind w:left="3600" w:hanging="360"/>
      </w:pPr>
      <w:rPr>
        <w:rFonts w:ascii="Symbol" w:hAnsi="Symbol" w:hint="default"/>
      </w:rPr>
    </w:lvl>
    <w:lvl w:ilvl="5" w:tplc="D7EAD860" w:tentative="1">
      <w:start w:val="1"/>
      <w:numFmt w:val="bullet"/>
      <w:lvlText w:val=""/>
      <w:lvlJc w:val="left"/>
      <w:pPr>
        <w:tabs>
          <w:tab w:val="num" w:pos="4320"/>
        </w:tabs>
        <w:ind w:left="4320" w:hanging="360"/>
      </w:pPr>
      <w:rPr>
        <w:rFonts w:ascii="Symbol" w:hAnsi="Symbol" w:hint="default"/>
      </w:rPr>
    </w:lvl>
    <w:lvl w:ilvl="6" w:tplc="53D6C48C" w:tentative="1">
      <w:start w:val="1"/>
      <w:numFmt w:val="bullet"/>
      <w:lvlText w:val=""/>
      <w:lvlJc w:val="left"/>
      <w:pPr>
        <w:tabs>
          <w:tab w:val="num" w:pos="5040"/>
        </w:tabs>
        <w:ind w:left="5040" w:hanging="360"/>
      </w:pPr>
      <w:rPr>
        <w:rFonts w:ascii="Symbol" w:hAnsi="Symbol" w:hint="default"/>
      </w:rPr>
    </w:lvl>
    <w:lvl w:ilvl="7" w:tplc="E10631C2" w:tentative="1">
      <w:start w:val="1"/>
      <w:numFmt w:val="bullet"/>
      <w:lvlText w:val=""/>
      <w:lvlJc w:val="left"/>
      <w:pPr>
        <w:tabs>
          <w:tab w:val="num" w:pos="5760"/>
        </w:tabs>
        <w:ind w:left="5760" w:hanging="360"/>
      </w:pPr>
      <w:rPr>
        <w:rFonts w:ascii="Symbol" w:hAnsi="Symbol" w:hint="default"/>
      </w:rPr>
    </w:lvl>
    <w:lvl w:ilvl="8" w:tplc="5DD42AF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5FA62DD1"/>
    <w:multiLevelType w:val="hybridMultilevel"/>
    <w:tmpl w:val="AAB8F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3FA3580"/>
    <w:multiLevelType w:val="hybridMultilevel"/>
    <w:tmpl w:val="67B0280C"/>
    <w:lvl w:ilvl="0" w:tplc="DFE63A74">
      <w:start w:val="1"/>
      <w:numFmt w:val="bullet"/>
      <w:lvlText w:val=""/>
      <w:lvlJc w:val="left"/>
      <w:pPr>
        <w:tabs>
          <w:tab w:val="num" w:pos="720"/>
        </w:tabs>
        <w:ind w:left="720" w:hanging="360"/>
      </w:pPr>
      <w:rPr>
        <w:rFonts w:ascii="Symbol" w:hAnsi="Symbol" w:hint="default"/>
      </w:rPr>
    </w:lvl>
    <w:lvl w:ilvl="1" w:tplc="DC5AF584">
      <w:numFmt w:val="bullet"/>
      <w:lvlText w:val="o"/>
      <w:lvlJc w:val="left"/>
      <w:pPr>
        <w:tabs>
          <w:tab w:val="num" w:pos="1440"/>
        </w:tabs>
        <w:ind w:left="1440" w:hanging="360"/>
      </w:pPr>
      <w:rPr>
        <w:rFonts w:ascii="Courier New" w:hAnsi="Courier New" w:hint="default"/>
      </w:rPr>
    </w:lvl>
    <w:lvl w:ilvl="2" w:tplc="68C6D51C" w:tentative="1">
      <w:start w:val="1"/>
      <w:numFmt w:val="bullet"/>
      <w:lvlText w:val=""/>
      <w:lvlJc w:val="left"/>
      <w:pPr>
        <w:tabs>
          <w:tab w:val="num" w:pos="2160"/>
        </w:tabs>
        <w:ind w:left="2160" w:hanging="360"/>
      </w:pPr>
      <w:rPr>
        <w:rFonts w:ascii="Symbol" w:hAnsi="Symbol" w:hint="default"/>
      </w:rPr>
    </w:lvl>
    <w:lvl w:ilvl="3" w:tplc="3A7617D6" w:tentative="1">
      <w:start w:val="1"/>
      <w:numFmt w:val="bullet"/>
      <w:lvlText w:val=""/>
      <w:lvlJc w:val="left"/>
      <w:pPr>
        <w:tabs>
          <w:tab w:val="num" w:pos="2880"/>
        </w:tabs>
        <w:ind w:left="2880" w:hanging="360"/>
      </w:pPr>
      <w:rPr>
        <w:rFonts w:ascii="Symbol" w:hAnsi="Symbol" w:hint="default"/>
      </w:rPr>
    </w:lvl>
    <w:lvl w:ilvl="4" w:tplc="DE8C376E" w:tentative="1">
      <w:start w:val="1"/>
      <w:numFmt w:val="bullet"/>
      <w:lvlText w:val=""/>
      <w:lvlJc w:val="left"/>
      <w:pPr>
        <w:tabs>
          <w:tab w:val="num" w:pos="3600"/>
        </w:tabs>
        <w:ind w:left="3600" w:hanging="360"/>
      </w:pPr>
      <w:rPr>
        <w:rFonts w:ascii="Symbol" w:hAnsi="Symbol" w:hint="default"/>
      </w:rPr>
    </w:lvl>
    <w:lvl w:ilvl="5" w:tplc="C11E4A94" w:tentative="1">
      <w:start w:val="1"/>
      <w:numFmt w:val="bullet"/>
      <w:lvlText w:val=""/>
      <w:lvlJc w:val="left"/>
      <w:pPr>
        <w:tabs>
          <w:tab w:val="num" w:pos="4320"/>
        </w:tabs>
        <w:ind w:left="4320" w:hanging="360"/>
      </w:pPr>
      <w:rPr>
        <w:rFonts w:ascii="Symbol" w:hAnsi="Symbol" w:hint="default"/>
      </w:rPr>
    </w:lvl>
    <w:lvl w:ilvl="6" w:tplc="80F6FE9E" w:tentative="1">
      <w:start w:val="1"/>
      <w:numFmt w:val="bullet"/>
      <w:lvlText w:val=""/>
      <w:lvlJc w:val="left"/>
      <w:pPr>
        <w:tabs>
          <w:tab w:val="num" w:pos="5040"/>
        </w:tabs>
        <w:ind w:left="5040" w:hanging="360"/>
      </w:pPr>
      <w:rPr>
        <w:rFonts w:ascii="Symbol" w:hAnsi="Symbol" w:hint="default"/>
      </w:rPr>
    </w:lvl>
    <w:lvl w:ilvl="7" w:tplc="780CCFC8" w:tentative="1">
      <w:start w:val="1"/>
      <w:numFmt w:val="bullet"/>
      <w:lvlText w:val=""/>
      <w:lvlJc w:val="left"/>
      <w:pPr>
        <w:tabs>
          <w:tab w:val="num" w:pos="5760"/>
        </w:tabs>
        <w:ind w:left="5760" w:hanging="360"/>
      </w:pPr>
      <w:rPr>
        <w:rFonts w:ascii="Symbol" w:hAnsi="Symbol" w:hint="default"/>
      </w:rPr>
    </w:lvl>
    <w:lvl w:ilvl="8" w:tplc="C22A4A1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5246ADF"/>
    <w:multiLevelType w:val="hybridMultilevel"/>
    <w:tmpl w:val="1854C5CE"/>
    <w:lvl w:ilvl="0" w:tplc="14904B5A">
      <w:start w:val="1"/>
      <w:numFmt w:val="bullet"/>
      <w:pStyle w:val="ListParagraph"/>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9AE47C3"/>
    <w:multiLevelType w:val="hybridMultilevel"/>
    <w:tmpl w:val="6E60B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A55F3"/>
    <w:multiLevelType w:val="hybridMultilevel"/>
    <w:tmpl w:val="311E9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0D02FA"/>
    <w:multiLevelType w:val="hybridMultilevel"/>
    <w:tmpl w:val="EBE06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2"/>
  </w:num>
  <w:num w:numId="2">
    <w:abstractNumId w:val="36"/>
  </w:num>
  <w:num w:numId="3">
    <w:abstractNumId w:val="0"/>
  </w:num>
  <w:num w:numId="4">
    <w:abstractNumId w:val="6"/>
  </w:num>
  <w:num w:numId="5">
    <w:abstractNumId w:val="24"/>
  </w:num>
  <w:num w:numId="6">
    <w:abstractNumId w:val="37"/>
  </w:num>
  <w:num w:numId="7">
    <w:abstractNumId w:val="26"/>
  </w:num>
  <w:num w:numId="8">
    <w:abstractNumId w:val="23"/>
  </w:num>
  <w:num w:numId="9">
    <w:abstractNumId w:val="44"/>
  </w:num>
  <w:num w:numId="10">
    <w:abstractNumId w:val="9"/>
  </w:num>
  <w:num w:numId="11">
    <w:abstractNumId w:val="30"/>
  </w:num>
  <w:num w:numId="12">
    <w:abstractNumId w:val="8"/>
  </w:num>
  <w:num w:numId="13">
    <w:abstractNumId w:val="20"/>
  </w:num>
  <w:num w:numId="14">
    <w:abstractNumId w:val="33"/>
  </w:num>
  <w:num w:numId="15">
    <w:abstractNumId w:val="25"/>
  </w:num>
  <w:num w:numId="16">
    <w:abstractNumId w:val="3"/>
  </w:num>
  <w:num w:numId="17">
    <w:abstractNumId w:val="32"/>
  </w:num>
  <w:num w:numId="18">
    <w:abstractNumId w:val="21"/>
  </w:num>
  <w:num w:numId="19">
    <w:abstractNumId w:val="28"/>
  </w:num>
  <w:num w:numId="20">
    <w:abstractNumId w:val="42"/>
  </w:num>
  <w:num w:numId="21">
    <w:abstractNumId w:val="47"/>
  </w:num>
  <w:num w:numId="22">
    <w:abstractNumId w:val="31"/>
  </w:num>
  <w:num w:numId="23">
    <w:abstractNumId w:val="18"/>
  </w:num>
  <w:num w:numId="24">
    <w:abstractNumId w:val="11"/>
  </w:num>
  <w:num w:numId="25">
    <w:abstractNumId w:val="41"/>
  </w:num>
  <w:num w:numId="26">
    <w:abstractNumId w:val="35"/>
  </w:num>
  <w:num w:numId="27">
    <w:abstractNumId w:val="14"/>
  </w:num>
  <w:num w:numId="28">
    <w:abstractNumId w:val="4"/>
  </w:num>
  <w:num w:numId="29">
    <w:abstractNumId w:val="46"/>
  </w:num>
  <w:num w:numId="30">
    <w:abstractNumId w:val="15"/>
  </w:num>
  <w:num w:numId="31">
    <w:abstractNumId w:val="27"/>
  </w:num>
  <w:num w:numId="32">
    <w:abstractNumId w:val="45"/>
  </w:num>
  <w:num w:numId="33">
    <w:abstractNumId w:val="39"/>
  </w:num>
  <w:num w:numId="34">
    <w:abstractNumId w:val="16"/>
  </w:num>
  <w:num w:numId="35">
    <w:abstractNumId w:val="29"/>
  </w:num>
  <w:num w:numId="36">
    <w:abstractNumId w:val="34"/>
  </w:num>
  <w:num w:numId="37">
    <w:abstractNumId w:val="1"/>
  </w:num>
  <w:num w:numId="38">
    <w:abstractNumId w:val="2"/>
  </w:num>
  <w:num w:numId="39">
    <w:abstractNumId w:val="13"/>
  </w:num>
  <w:num w:numId="40">
    <w:abstractNumId w:val="43"/>
  </w:num>
  <w:num w:numId="41">
    <w:abstractNumId w:val="5"/>
  </w:num>
  <w:num w:numId="42">
    <w:abstractNumId w:val="22"/>
  </w:num>
  <w:num w:numId="43">
    <w:abstractNumId w:val="10"/>
  </w:num>
  <w:num w:numId="44">
    <w:abstractNumId w:val="19"/>
  </w:num>
  <w:num w:numId="45">
    <w:abstractNumId w:val="17"/>
  </w:num>
  <w:num w:numId="46">
    <w:abstractNumId w:val="38"/>
  </w:num>
  <w:num w:numId="47">
    <w:abstractNumId w:val="7"/>
  </w:num>
  <w:num w:numId="48">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8"/>
    <w:rsid w:val="000001C4"/>
    <w:rsid w:val="000012AB"/>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A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1F3"/>
    <w:rsid w:val="00054B05"/>
    <w:rsid w:val="00054D9D"/>
    <w:rsid w:val="00055054"/>
    <w:rsid w:val="00055676"/>
    <w:rsid w:val="00056544"/>
    <w:rsid w:val="00060D8E"/>
    <w:rsid w:val="00062159"/>
    <w:rsid w:val="00063D9E"/>
    <w:rsid w:val="00064AD3"/>
    <w:rsid w:val="00065088"/>
    <w:rsid w:val="000652D3"/>
    <w:rsid w:val="000654A0"/>
    <w:rsid w:val="00065E94"/>
    <w:rsid w:val="00066719"/>
    <w:rsid w:val="00066C14"/>
    <w:rsid w:val="00067D90"/>
    <w:rsid w:val="000701AD"/>
    <w:rsid w:val="000707CA"/>
    <w:rsid w:val="00070D21"/>
    <w:rsid w:val="000717FB"/>
    <w:rsid w:val="000719BF"/>
    <w:rsid w:val="0007208A"/>
    <w:rsid w:val="0007213C"/>
    <w:rsid w:val="00072BBA"/>
    <w:rsid w:val="00072FF5"/>
    <w:rsid w:val="000730DC"/>
    <w:rsid w:val="0007389D"/>
    <w:rsid w:val="00075899"/>
    <w:rsid w:val="00075965"/>
    <w:rsid w:val="00075FDA"/>
    <w:rsid w:val="00076386"/>
    <w:rsid w:val="00076D82"/>
    <w:rsid w:val="0008150D"/>
    <w:rsid w:val="00081EC2"/>
    <w:rsid w:val="00082154"/>
    <w:rsid w:val="00083800"/>
    <w:rsid w:val="00084A65"/>
    <w:rsid w:val="0008559A"/>
    <w:rsid w:val="00087439"/>
    <w:rsid w:val="000902C2"/>
    <w:rsid w:val="00091A92"/>
    <w:rsid w:val="00093C49"/>
    <w:rsid w:val="00095A80"/>
    <w:rsid w:val="000973E1"/>
    <w:rsid w:val="000A1402"/>
    <w:rsid w:val="000A20BA"/>
    <w:rsid w:val="000A262C"/>
    <w:rsid w:val="000A3C8D"/>
    <w:rsid w:val="000A3DFE"/>
    <w:rsid w:val="000A40EC"/>
    <w:rsid w:val="000A4F16"/>
    <w:rsid w:val="000A54EE"/>
    <w:rsid w:val="000A6A23"/>
    <w:rsid w:val="000A7BC5"/>
    <w:rsid w:val="000A7CD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767"/>
    <w:rsid w:val="000D584F"/>
    <w:rsid w:val="000D6AC3"/>
    <w:rsid w:val="000D76BC"/>
    <w:rsid w:val="000D7750"/>
    <w:rsid w:val="000D7B17"/>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858"/>
    <w:rsid w:val="000F19DE"/>
    <w:rsid w:val="000F2E1F"/>
    <w:rsid w:val="000F37B0"/>
    <w:rsid w:val="000F4595"/>
    <w:rsid w:val="000F4CB2"/>
    <w:rsid w:val="000F4E44"/>
    <w:rsid w:val="000F4E90"/>
    <w:rsid w:val="000F568D"/>
    <w:rsid w:val="000F5C2B"/>
    <w:rsid w:val="000F68D0"/>
    <w:rsid w:val="000F6B15"/>
    <w:rsid w:val="000F7FA2"/>
    <w:rsid w:val="0010170B"/>
    <w:rsid w:val="00101729"/>
    <w:rsid w:val="001017A8"/>
    <w:rsid w:val="00101C4F"/>
    <w:rsid w:val="00102C9F"/>
    <w:rsid w:val="00103FC9"/>
    <w:rsid w:val="001068D2"/>
    <w:rsid w:val="001069F2"/>
    <w:rsid w:val="001103BD"/>
    <w:rsid w:val="00111208"/>
    <w:rsid w:val="001115B0"/>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3DA"/>
    <w:rsid w:val="00144C87"/>
    <w:rsid w:val="001467B1"/>
    <w:rsid w:val="00147B99"/>
    <w:rsid w:val="00150175"/>
    <w:rsid w:val="001502C8"/>
    <w:rsid w:val="00151011"/>
    <w:rsid w:val="00151224"/>
    <w:rsid w:val="0015130F"/>
    <w:rsid w:val="001532BA"/>
    <w:rsid w:val="00153FED"/>
    <w:rsid w:val="0015562A"/>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977F6"/>
    <w:rsid w:val="001A02F6"/>
    <w:rsid w:val="001A15C6"/>
    <w:rsid w:val="001A5510"/>
    <w:rsid w:val="001A5C7B"/>
    <w:rsid w:val="001A5E19"/>
    <w:rsid w:val="001A63D8"/>
    <w:rsid w:val="001A7AA4"/>
    <w:rsid w:val="001B01FA"/>
    <w:rsid w:val="001B0832"/>
    <w:rsid w:val="001B18A7"/>
    <w:rsid w:val="001B26F9"/>
    <w:rsid w:val="001B2762"/>
    <w:rsid w:val="001B36FC"/>
    <w:rsid w:val="001B41ED"/>
    <w:rsid w:val="001B4607"/>
    <w:rsid w:val="001B7E0C"/>
    <w:rsid w:val="001C0674"/>
    <w:rsid w:val="001C1405"/>
    <w:rsid w:val="001C1B93"/>
    <w:rsid w:val="001C226F"/>
    <w:rsid w:val="001C5296"/>
    <w:rsid w:val="001C5C51"/>
    <w:rsid w:val="001C66AC"/>
    <w:rsid w:val="001C6754"/>
    <w:rsid w:val="001C77F0"/>
    <w:rsid w:val="001D30C9"/>
    <w:rsid w:val="001D428F"/>
    <w:rsid w:val="001D445B"/>
    <w:rsid w:val="001D46A0"/>
    <w:rsid w:val="001D50C2"/>
    <w:rsid w:val="001D753C"/>
    <w:rsid w:val="001D7CA4"/>
    <w:rsid w:val="001D7E58"/>
    <w:rsid w:val="001E0425"/>
    <w:rsid w:val="001E13B3"/>
    <w:rsid w:val="001E19F6"/>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28"/>
    <w:rsid w:val="00215AAA"/>
    <w:rsid w:val="0021683C"/>
    <w:rsid w:val="00216F5F"/>
    <w:rsid w:val="00220615"/>
    <w:rsid w:val="00221985"/>
    <w:rsid w:val="00221EC5"/>
    <w:rsid w:val="00222A7A"/>
    <w:rsid w:val="00222A8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A62"/>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F18"/>
    <w:rsid w:val="002607AE"/>
    <w:rsid w:val="00260AEE"/>
    <w:rsid w:val="00260C4F"/>
    <w:rsid w:val="002621A6"/>
    <w:rsid w:val="00262661"/>
    <w:rsid w:val="00262D9D"/>
    <w:rsid w:val="002632DF"/>
    <w:rsid w:val="00263946"/>
    <w:rsid w:val="002640BA"/>
    <w:rsid w:val="00264544"/>
    <w:rsid w:val="00264CF2"/>
    <w:rsid w:val="002667A8"/>
    <w:rsid w:val="00267587"/>
    <w:rsid w:val="002675C8"/>
    <w:rsid w:val="00267760"/>
    <w:rsid w:val="00271589"/>
    <w:rsid w:val="00273177"/>
    <w:rsid w:val="0027455B"/>
    <w:rsid w:val="00275074"/>
    <w:rsid w:val="0027520A"/>
    <w:rsid w:val="00276203"/>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2DCE"/>
    <w:rsid w:val="00294445"/>
    <w:rsid w:val="00294B4D"/>
    <w:rsid w:val="0029537E"/>
    <w:rsid w:val="002960D5"/>
    <w:rsid w:val="00297926"/>
    <w:rsid w:val="002A02C9"/>
    <w:rsid w:val="002A1062"/>
    <w:rsid w:val="002A2012"/>
    <w:rsid w:val="002A2413"/>
    <w:rsid w:val="002A2F5E"/>
    <w:rsid w:val="002A352A"/>
    <w:rsid w:val="002A607D"/>
    <w:rsid w:val="002A711C"/>
    <w:rsid w:val="002B132E"/>
    <w:rsid w:val="002B1499"/>
    <w:rsid w:val="002B2813"/>
    <w:rsid w:val="002B2D29"/>
    <w:rsid w:val="002B2E66"/>
    <w:rsid w:val="002B3B31"/>
    <w:rsid w:val="002B3BBD"/>
    <w:rsid w:val="002B6098"/>
    <w:rsid w:val="002C0C4B"/>
    <w:rsid w:val="002C1EEA"/>
    <w:rsid w:val="002C4387"/>
    <w:rsid w:val="002C47AD"/>
    <w:rsid w:val="002C5510"/>
    <w:rsid w:val="002C6034"/>
    <w:rsid w:val="002C635B"/>
    <w:rsid w:val="002C67DD"/>
    <w:rsid w:val="002C70FD"/>
    <w:rsid w:val="002C7276"/>
    <w:rsid w:val="002C770F"/>
    <w:rsid w:val="002C7CFF"/>
    <w:rsid w:val="002D0BC6"/>
    <w:rsid w:val="002D0C0E"/>
    <w:rsid w:val="002D12DB"/>
    <w:rsid w:val="002D17C5"/>
    <w:rsid w:val="002D365F"/>
    <w:rsid w:val="002D51DF"/>
    <w:rsid w:val="002D6892"/>
    <w:rsid w:val="002D68C2"/>
    <w:rsid w:val="002D6987"/>
    <w:rsid w:val="002D7C86"/>
    <w:rsid w:val="002E0692"/>
    <w:rsid w:val="002E152D"/>
    <w:rsid w:val="002E1D74"/>
    <w:rsid w:val="002E2943"/>
    <w:rsid w:val="002E2CF1"/>
    <w:rsid w:val="002E34AF"/>
    <w:rsid w:val="002E4AAC"/>
    <w:rsid w:val="002E53DE"/>
    <w:rsid w:val="002E563B"/>
    <w:rsid w:val="002E62D2"/>
    <w:rsid w:val="002E734F"/>
    <w:rsid w:val="002E74AF"/>
    <w:rsid w:val="002E74F0"/>
    <w:rsid w:val="002E758C"/>
    <w:rsid w:val="002F08CE"/>
    <w:rsid w:val="002F1038"/>
    <w:rsid w:val="002F1227"/>
    <w:rsid w:val="002F1F61"/>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A3E"/>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824"/>
    <w:rsid w:val="003317CA"/>
    <w:rsid w:val="00331C77"/>
    <w:rsid w:val="00331DB6"/>
    <w:rsid w:val="00331F96"/>
    <w:rsid w:val="00332B55"/>
    <w:rsid w:val="003336B9"/>
    <w:rsid w:val="00334593"/>
    <w:rsid w:val="0033476C"/>
    <w:rsid w:val="00334F3D"/>
    <w:rsid w:val="00335EA8"/>
    <w:rsid w:val="003363DD"/>
    <w:rsid w:val="00337810"/>
    <w:rsid w:val="00340361"/>
    <w:rsid w:val="00340795"/>
    <w:rsid w:val="00340A9C"/>
    <w:rsid w:val="0034111C"/>
    <w:rsid w:val="00341947"/>
    <w:rsid w:val="00341E60"/>
    <w:rsid w:val="003420F4"/>
    <w:rsid w:val="0034217F"/>
    <w:rsid w:val="00342AD2"/>
    <w:rsid w:val="00343954"/>
    <w:rsid w:val="00344BCA"/>
    <w:rsid w:val="00345405"/>
    <w:rsid w:val="00345DDD"/>
    <w:rsid w:val="00346FED"/>
    <w:rsid w:val="00350EE4"/>
    <w:rsid w:val="00351E01"/>
    <w:rsid w:val="00352202"/>
    <w:rsid w:val="00352968"/>
    <w:rsid w:val="0035298B"/>
    <w:rsid w:val="00352D21"/>
    <w:rsid w:val="0035443D"/>
    <w:rsid w:val="00354AA2"/>
    <w:rsid w:val="00354F4A"/>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AF5"/>
    <w:rsid w:val="00370B63"/>
    <w:rsid w:val="00370FCC"/>
    <w:rsid w:val="003711AF"/>
    <w:rsid w:val="003733C5"/>
    <w:rsid w:val="003735C6"/>
    <w:rsid w:val="00374848"/>
    <w:rsid w:val="003757A1"/>
    <w:rsid w:val="00375D09"/>
    <w:rsid w:val="003762DC"/>
    <w:rsid w:val="0037739D"/>
    <w:rsid w:val="0037751C"/>
    <w:rsid w:val="00377D61"/>
    <w:rsid w:val="0038044B"/>
    <w:rsid w:val="00380B66"/>
    <w:rsid w:val="00380F3F"/>
    <w:rsid w:val="0038119A"/>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011"/>
    <w:rsid w:val="003935B0"/>
    <w:rsid w:val="00393E44"/>
    <w:rsid w:val="00394301"/>
    <w:rsid w:val="003961A7"/>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BCF"/>
    <w:rsid w:val="003B23F6"/>
    <w:rsid w:val="003B2E9B"/>
    <w:rsid w:val="003B2F8D"/>
    <w:rsid w:val="003B3C64"/>
    <w:rsid w:val="003B4FAA"/>
    <w:rsid w:val="003B547A"/>
    <w:rsid w:val="003B6EC0"/>
    <w:rsid w:val="003B75B9"/>
    <w:rsid w:val="003B7892"/>
    <w:rsid w:val="003C087B"/>
    <w:rsid w:val="003C0DA2"/>
    <w:rsid w:val="003C1A18"/>
    <w:rsid w:val="003C518E"/>
    <w:rsid w:val="003C5C41"/>
    <w:rsid w:val="003C669D"/>
    <w:rsid w:val="003C6877"/>
    <w:rsid w:val="003C7062"/>
    <w:rsid w:val="003C7461"/>
    <w:rsid w:val="003D0788"/>
    <w:rsid w:val="003D132A"/>
    <w:rsid w:val="003D1517"/>
    <w:rsid w:val="003D1657"/>
    <w:rsid w:val="003D1D50"/>
    <w:rsid w:val="003D232D"/>
    <w:rsid w:val="003D286B"/>
    <w:rsid w:val="003D2938"/>
    <w:rsid w:val="003D3FBA"/>
    <w:rsid w:val="003D402B"/>
    <w:rsid w:val="003D51C7"/>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E08"/>
    <w:rsid w:val="003F3FCC"/>
    <w:rsid w:val="003F5547"/>
    <w:rsid w:val="003F5C40"/>
    <w:rsid w:val="003F6E12"/>
    <w:rsid w:val="003F6F8B"/>
    <w:rsid w:val="003F75ED"/>
    <w:rsid w:val="004002B7"/>
    <w:rsid w:val="00400F31"/>
    <w:rsid w:val="004023BA"/>
    <w:rsid w:val="00406B4D"/>
    <w:rsid w:val="0041443C"/>
    <w:rsid w:val="0041488F"/>
    <w:rsid w:val="00415162"/>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0D65"/>
    <w:rsid w:val="00451BAE"/>
    <w:rsid w:val="00452CA7"/>
    <w:rsid w:val="00453341"/>
    <w:rsid w:val="004545C6"/>
    <w:rsid w:val="00454DCA"/>
    <w:rsid w:val="00454E26"/>
    <w:rsid w:val="00456544"/>
    <w:rsid w:val="00456649"/>
    <w:rsid w:val="004567B7"/>
    <w:rsid w:val="004567DC"/>
    <w:rsid w:val="00456856"/>
    <w:rsid w:val="004571EF"/>
    <w:rsid w:val="00457ACC"/>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DA4"/>
    <w:rsid w:val="00484377"/>
    <w:rsid w:val="00485B23"/>
    <w:rsid w:val="00485B50"/>
    <w:rsid w:val="004874E4"/>
    <w:rsid w:val="0048792B"/>
    <w:rsid w:val="0049070D"/>
    <w:rsid w:val="00490A39"/>
    <w:rsid w:val="00490E82"/>
    <w:rsid w:val="00491BE4"/>
    <w:rsid w:val="00491DB2"/>
    <w:rsid w:val="00492877"/>
    <w:rsid w:val="004938B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CCC"/>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0136"/>
    <w:rsid w:val="004D2629"/>
    <w:rsid w:val="004D26B8"/>
    <w:rsid w:val="004D2959"/>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4B7"/>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465"/>
    <w:rsid w:val="00523E75"/>
    <w:rsid w:val="005243E0"/>
    <w:rsid w:val="005256F3"/>
    <w:rsid w:val="0052597A"/>
    <w:rsid w:val="005265A3"/>
    <w:rsid w:val="00526783"/>
    <w:rsid w:val="00526BC6"/>
    <w:rsid w:val="0052773A"/>
    <w:rsid w:val="00527FB1"/>
    <w:rsid w:val="00530423"/>
    <w:rsid w:val="0053107E"/>
    <w:rsid w:val="005312CB"/>
    <w:rsid w:val="0053162F"/>
    <w:rsid w:val="00531777"/>
    <w:rsid w:val="0053281C"/>
    <w:rsid w:val="00532AD0"/>
    <w:rsid w:val="0053311D"/>
    <w:rsid w:val="00533B93"/>
    <w:rsid w:val="005340C9"/>
    <w:rsid w:val="00536698"/>
    <w:rsid w:val="005368E5"/>
    <w:rsid w:val="00537453"/>
    <w:rsid w:val="005375FE"/>
    <w:rsid w:val="00540BFC"/>
    <w:rsid w:val="0054195A"/>
    <w:rsid w:val="005420DE"/>
    <w:rsid w:val="005421B3"/>
    <w:rsid w:val="00542249"/>
    <w:rsid w:val="00542FAA"/>
    <w:rsid w:val="005431F5"/>
    <w:rsid w:val="00543707"/>
    <w:rsid w:val="005439D2"/>
    <w:rsid w:val="00543EBB"/>
    <w:rsid w:val="00544213"/>
    <w:rsid w:val="0054486D"/>
    <w:rsid w:val="005450E6"/>
    <w:rsid w:val="005453F3"/>
    <w:rsid w:val="00545549"/>
    <w:rsid w:val="005469F5"/>
    <w:rsid w:val="00546F36"/>
    <w:rsid w:val="005518ED"/>
    <w:rsid w:val="00552093"/>
    <w:rsid w:val="00554C49"/>
    <w:rsid w:val="00554E06"/>
    <w:rsid w:val="00554E4B"/>
    <w:rsid w:val="0055519C"/>
    <w:rsid w:val="005554C1"/>
    <w:rsid w:val="00555F67"/>
    <w:rsid w:val="00556E32"/>
    <w:rsid w:val="00557974"/>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5EE"/>
    <w:rsid w:val="00567415"/>
    <w:rsid w:val="00567610"/>
    <w:rsid w:val="00570D9F"/>
    <w:rsid w:val="0057185C"/>
    <w:rsid w:val="00571CA8"/>
    <w:rsid w:val="00572947"/>
    <w:rsid w:val="00573138"/>
    <w:rsid w:val="005734A7"/>
    <w:rsid w:val="005746C4"/>
    <w:rsid w:val="00574B50"/>
    <w:rsid w:val="00575D4D"/>
    <w:rsid w:val="00577835"/>
    <w:rsid w:val="00580793"/>
    <w:rsid w:val="00581470"/>
    <w:rsid w:val="00581B62"/>
    <w:rsid w:val="00581BAD"/>
    <w:rsid w:val="00581D62"/>
    <w:rsid w:val="00582087"/>
    <w:rsid w:val="00582F21"/>
    <w:rsid w:val="005831DD"/>
    <w:rsid w:val="00583315"/>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31"/>
    <w:rsid w:val="005A704D"/>
    <w:rsid w:val="005B3C6D"/>
    <w:rsid w:val="005B4045"/>
    <w:rsid w:val="005B4EFF"/>
    <w:rsid w:val="005B609E"/>
    <w:rsid w:val="005B6DF6"/>
    <w:rsid w:val="005B7B7D"/>
    <w:rsid w:val="005C0DC6"/>
    <w:rsid w:val="005C1948"/>
    <w:rsid w:val="005C22F9"/>
    <w:rsid w:val="005C263C"/>
    <w:rsid w:val="005C2679"/>
    <w:rsid w:val="005C298C"/>
    <w:rsid w:val="005C4BFB"/>
    <w:rsid w:val="005C5870"/>
    <w:rsid w:val="005C59E5"/>
    <w:rsid w:val="005D059A"/>
    <w:rsid w:val="005D07C5"/>
    <w:rsid w:val="005D21B7"/>
    <w:rsid w:val="005D2DAD"/>
    <w:rsid w:val="005D3A98"/>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057"/>
    <w:rsid w:val="00630118"/>
    <w:rsid w:val="00630514"/>
    <w:rsid w:val="006310AE"/>
    <w:rsid w:val="00631762"/>
    <w:rsid w:val="00632196"/>
    <w:rsid w:val="00632859"/>
    <w:rsid w:val="00632BA2"/>
    <w:rsid w:val="00633750"/>
    <w:rsid w:val="00633BF2"/>
    <w:rsid w:val="00633F67"/>
    <w:rsid w:val="006345C3"/>
    <w:rsid w:val="0063530F"/>
    <w:rsid w:val="006362F9"/>
    <w:rsid w:val="006369A9"/>
    <w:rsid w:val="006373CD"/>
    <w:rsid w:val="00641283"/>
    <w:rsid w:val="006413CF"/>
    <w:rsid w:val="00641413"/>
    <w:rsid w:val="00641465"/>
    <w:rsid w:val="0064165D"/>
    <w:rsid w:val="00642551"/>
    <w:rsid w:val="00642E8C"/>
    <w:rsid w:val="006433BD"/>
    <w:rsid w:val="00643562"/>
    <w:rsid w:val="00643784"/>
    <w:rsid w:val="00644186"/>
    <w:rsid w:val="00644A21"/>
    <w:rsid w:val="00644D4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DEE"/>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49B"/>
    <w:rsid w:val="006719E0"/>
    <w:rsid w:val="0067269D"/>
    <w:rsid w:val="00672988"/>
    <w:rsid w:val="00672C64"/>
    <w:rsid w:val="00674E6A"/>
    <w:rsid w:val="00675CF4"/>
    <w:rsid w:val="00676A64"/>
    <w:rsid w:val="00677027"/>
    <w:rsid w:val="00677925"/>
    <w:rsid w:val="006779BF"/>
    <w:rsid w:val="00680F46"/>
    <w:rsid w:val="00681FDC"/>
    <w:rsid w:val="006825AB"/>
    <w:rsid w:val="00682B53"/>
    <w:rsid w:val="00682F27"/>
    <w:rsid w:val="006859DB"/>
    <w:rsid w:val="0068678D"/>
    <w:rsid w:val="00687488"/>
    <w:rsid w:val="006904ED"/>
    <w:rsid w:val="00690E2E"/>
    <w:rsid w:val="00690F19"/>
    <w:rsid w:val="00690FCB"/>
    <w:rsid w:val="006915D7"/>
    <w:rsid w:val="00692814"/>
    <w:rsid w:val="006932E7"/>
    <w:rsid w:val="00693347"/>
    <w:rsid w:val="0069334C"/>
    <w:rsid w:val="006948EF"/>
    <w:rsid w:val="00696D63"/>
    <w:rsid w:val="006A032F"/>
    <w:rsid w:val="006A0C94"/>
    <w:rsid w:val="006A0DD3"/>
    <w:rsid w:val="006A146E"/>
    <w:rsid w:val="006A1BEB"/>
    <w:rsid w:val="006A3022"/>
    <w:rsid w:val="006A3878"/>
    <w:rsid w:val="006A41AE"/>
    <w:rsid w:val="006A4856"/>
    <w:rsid w:val="006A5010"/>
    <w:rsid w:val="006A5474"/>
    <w:rsid w:val="006A564B"/>
    <w:rsid w:val="006B05B5"/>
    <w:rsid w:val="006B1545"/>
    <w:rsid w:val="006B23B9"/>
    <w:rsid w:val="006B2A22"/>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C7CB6"/>
    <w:rsid w:val="006D0826"/>
    <w:rsid w:val="006D0C12"/>
    <w:rsid w:val="006D0E6B"/>
    <w:rsid w:val="006D2146"/>
    <w:rsid w:val="006D632E"/>
    <w:rsid w:val="006D6C9C"/>
    <w:rsid w:val="006E094A"/>
    <w:rsid w:val="006E12B1"/>
    <w:rsid w:val="006E13D1"/>
    <w:rsid w:val="006E1FB2"/>
    <w:rsid w:val="006E4D0C"/>
    <w:rsid w:val="006E4D1B"/>
    <w:rsid w:val="006E5B78"/>
    <w:rsid w:val="006E67BA"/>
    <w:rsid w:val="006E699D"/>
    <w:rsid w:val="006E6BA3"/>
    <w:rsid w:val="006F1116"/>
    <w:rsid w:val="006F2654"/>
    <w:rsid w:val="006F3196"/>
    <w:rsid w:val="006F3C54"/>
    <w:rsid w:val="006F418C"/>
    <w:rsid w:val="006F4383"/>
    <w:rsid w:val="006F5E64"/>
    <w:rsid w:val="006F60DE"/>
    <w:rsid w:val="006F612B"/>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FD7"/>
    <w:rsid w:val="007108D3"/>
    <w:rsid w:val="0071118B"/>
    <w:rsid w:val="00711C66"/>
    <w:rsid w:val="00711E13"/>
    <w:rsid w:val="00712EDA"/>
    <w:rsid w:val="007136D0"/>
    <w:rsid w:val="007155A9"/>
    <w:rsid w:val="007158E1"/>
    <w:rsid w:val="00716AA6"/>
    <w:rsid w:val="0071705B"/>
    <w:rsid w:val="00720505"/>
    <w:rsid w:val="00720E11"/>
    <w:rsid w:val="007236A3"/>
    <w:rsid w:val="007239B6"/>
    <w:rsid w:val="0072490A"/>
    <w:rsid w:val="00724B64"/>
    <w:rsid w:val="0072517D"/>
    <w:rsid w:val="00726421"/>
    <w:rsid w:val="00726878"/>
    <w:rsid w:val="0073124A"/>
    <w:rsid w:val="00731B79"/>
    <w:rsid w:val="007320A2"/>
    <w:rsid w:val="007327CE"/>
    <w:rsid w:val="00733893"/>
    <w:rsid w:val="00734A05"/>
    <w:rsid w:val="00734ECC"/>
    <w:rsid w:val="00735C6F"/>
    <w:rsid w:val="00737A31"/>
    <w:rsid w:val="00737B2F"/>
    <w:rsid w:val="00742A6A"/>
    <w:rsid w:val="00742B44"/>
    <w:rsid w:val="0074656E"/>
    <w:rsid w:val="007472D5"/>
    <w:rsid w:val="0075137C"/>
    <w:rsid w:val="00752B03"/>
    <w:rsid w:val="00753454"/>
    <w:rsid w:val="00753BB5"/>
    <w:rsid w:val="007544F1"/>
    <w:rsid w:val="00755E4A"/>
    <w:rsid w:val="00756832"/>
    <w:rsid w:val="00757F0B"/>
    <w:rsid w:val="0076037E"/>
    <w:rsid w:val="00761C16"/>
    <w:rsid w:val="007626D0"/>
    <w:rsid w:val="007651CA"/>
    <w:rsid w:val="00767519"/>
    <w:rsid w:val="007704E1"/>
    <w:rsid w:val="00770E5C"/>
    <w:rsid w:val="00770E62"/>
    <w:rsid w:val="00771115"/>
    <w:rsid w:val="00772569"/>
    <w:rsid w:val="00772E8C"/>
    <w:rsid w:val="00772FDB"/>
    <w:rsid w:val="0077316B"/>
    <w:rsid w:val="007736D3"/>
    <w:rsid w:val="0077500F"/>
    <w:rsid w:val="0077548E"/>
    <w:rsid w:val="00775CE1"/>
    <w:rsid w:val="00777315"/>
    <w:rsid w:val="0077756B"/>
    <w:rsid w:val="007802E4"/>
    <w:rsid w:val="00780919"/>
    <w:rsid w:val="00781589"/>
    <w:rsid w:val="007820D0"/>
    <w:rsid w:val="007826C8"/>
    <w:rsid w:val="00783C94"/>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97FAF"/>
    <w:rsid w:val="007A138F"/>
    <w:rsid w:val="007A1640"/>
    <w:rsid w:val="007A1AE4"/>
    <w:rsid w:val="007A39DF"/>
    <w:rsid w:val="007A43ED"/>
    <w:rsid w:val="007A4BDD"/>
    <w:rsid w:val="007A6CFD"/>
    <w:rsid w:val="007A72EE"/>
    <w:rsid w:val="007B0397"/>
    <w:rsid w:val="007B0ADB"/>
    <w:rsid w:val="007B26EE"/>
    <w:rsid w:val="007B3277"/>
    <w:rsid w:val="007B3502"/>
    <w:rsid w:val="007B3E6D"/>
    <w:rsid w:val="007B44ED"/>
    <w:rsid w:val="007B491A"/>
    <w:rsid w:val="007B528F"/>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6B1"/>
    <w:rsid w:val="007D6F64"/>
    <w:rsid w:val="007E1782"/>
    <w:rsid w:val="007E25AB"/>
    <w:rsid w:val="007E285C"/>
    <w:rsid w:val="007E2F41"/>
    <w:rsid w:val="007E44FC"/>
    <w:rsid w:val="007E5AC2"/>
    <w:rsid w:val="007E79C5"/>
    <w:rsid w:val="007F0798"/>
    <w:rsid w:val="007F2845"/>
    <w:rsid w:val="007F2A69"/>
    <w:rsid w:val="007F38A2"/>
    <w:rsid w:val="007F43BC"/>
    <w:rsid w:val="007F4740"/>
    <w:rsid w:val="008006C6"/>
    <w:rsid w:val="00800B03"/>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3A9B"/>
    <w:rsid w:val="00824894"/>
    <w:rsid w:val="00824FFF"/>
    <w:rsid w:val="00825366"/>
    <w:rsid w:val="00825E84"/>
    <w:rsid w:val="00826C7B"/>
    <w:rsid w:val="00826DD9"/>
    <w:rsid w:val="00826E01"/>
    <w:rsid w:val="008277A8"/>
    <w:rsid w:val="008278B6"/>
    <w:rsid w:val="008307ED"/>
    <w:rsid w:val="00830B3B"/>
    <w:rsid w:val="00833418"/>
    <w:rsid w:val="0083350F"/>
    <w:rsid w:val="00834358"/>
    <w:rsid w:val="008346BD"/>
    <w:rsid w:val="00834923"/>
    <w:rsid w:val="008359EB"/>
    <w:rsid w:val="00836B7A"/>
    <w:rsid w:val="00837B90"/>
    <w:rsid w:val="008400B3"/>
    <w:rsid w:val="008409AA"/>
    <w:rsid w:val="00840FB8"/>
    <w:rsid w:val="00841906"/>
    <w:rsid w:val="008429CB"/>
    <w:rsid w:val="00842E0C"/>
    <w:rsid w:val="00843A7A"/>
    <w:rsid w:val="008447F5"/>
    <w:rsid w:val="00846292"/>
    <w:rsid w:val="00846800"/>
    <w:rsid w:val="008506E1"/>
    <w:rsid w:val="00850D96"/>
    <w:rsid w:val="008515EE"/>
    <w:rsid w:val="00851A8E"/>
    <w:rsid w:val="00851EC7"/>
    <w:rsid w:val="008528D3"/>
    <w:rsid w:val="00852FB0"/>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BF"/>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D78"/>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516C"/>
    <w:rsid w:val="008C59A4"/>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1A"/>
    <w:rsid w:val="00900343"/>
    <w:rsid w:val="00900524"/>
    <w:rsid w:val="009006A2"/>
    <w:rsid w:val="0090102B"/>
    <w:rsid w:val="00901448"/>
    <w:rsid w:val="009036BC"/>
    <w:rsid w:val="00903D30"/>
    <w:rsid w:val="00904414"/>
    <w:rsid w:val="00905197"/>
    <w:rsid w:val="00905C47"/>
    <w:rsid w:val="00906379"/>
    <w:rsid w:val="00906A8C"/>
    <w:rsid w:val="00907D8C"/>
    <w:rsid w:val="009101EA"/>
    <w:rsid w:val="009106FC"/>
    <w:rsid w:val="009108E5"/>
    <w:rsid w:val="009118BB"/>
    <w:rsid w:val="0091191F"/>
    <w:rsid w:val="00911E7D"/>
    <w:rsid w:val="009120A9"/>
    <w:rsid w:val="009134C3"/>
    <w:rsid w:val="00915612"/>
    <w:rsid w:val="00915B81"/>
    <w:rsid w:val="00915D6B"/>
    <w:rsid w:val="009160DF"/>
    <w:rsid w:val="009162C7"/>
    <w:rsid w:val="00916781"/>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AF9"/>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9A5"/>
    <w:rsid w:val="00976F04"/>
    <w:rsid w:val="009777F4"/>
    <w:rsid w:val="00977AD8"/>
    <w:rsid w:val="00980265"/>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311"/>
    <w:rsid w:val="0099163B"/>
    <w:rsid w:val="00992343"/>
    <w:rsid w:val="0099383D"/>
    <w:rsid w:val="009938B1"/>
    <w:rsid w:val="00996258"/>
    <w:rsid w:val="00996306"/>
    <w:rsid w:val="00996744"/>
    <w:rsid w:val="00997CF4"/>
    <w:rsid w:val="009A1169"/>
    <w:rsid w:val="009A164C"/>
    <w:rsid w:val="009A1AAC"/>
    <w:rsid w:val="009A2BB6"/>
    <w:rsid w:val="009A2CB8"/>
    <w:rsid w:val="009A3772"/>
    <w:rsid w:val="009A3789"/>
    <w:rsid w:val="009A45A2"/>
    <w:rsid w:val="009A6919"/>
    <w:rsid w:val="009A6AC7"/>
    <w:rsid w:val="009B0408"/>
    <w:rsid w:val="009B0843"/>
    <w:rsid w:val="009B0DEE"/>
    <w:rsid w:val="009B1335"/>
    <w:rsid w:val="009B176D"/>
    <w:rsid w:val="009B1E47"/>
    <w:rsid w:val="009B2CED"/>
    <w:rsid w:val="009B3054"/>
    <w:rsid w:val="009B335D"/>
    <w:rsid w:val="009B3A05"/>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166"/>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247"/>
    <w:rsid w:val="00A027F3"/>
    <w:rsid w:val="00A03978"/>
    <w:rsid w:val="00A03AB1"/>
    <w:rsid w:val="00A04D7E"/>
    <w:rsid w:val="00A051D9"/>
    <w:rsid w:val="00A05DF3"/>
    <w:rsid w:val="00A07E08"/>
    <w:rsid w:val="00A10D79"/>
    <w:rsid w:val="00A11535"/>
    <w:rsid w:val="00A115DD"/>
    <w:rsid w:val="00A11E56"/>
    <w:rsid w:val="00A11FFC"/>
    <w:rsid w:val="00A12798"/>
    <w:rsid w:val="00A13A09"/>
    <w:rsid w:val="00A153BE"/>
    <w:rsid w:val="00A15DEE"/>
    <w:rsid w:val="00A16462"/>
    <w:rsid w:val="00A167B5"/>
    <w:rsid w:val="00A16DBE"/>
    <w:rsid w:val="00A179E0"/>
    <w:rsid w:val="00A17C4F"/>
    <w:rsid w:val="00A20653"/>
    <w:rsid w:val="00A20A39"/>
    <w:rsid w:val="00A22AF5"/>
    <w:rsid w:val="00A238BD"/>
    <w:rsid w:val="00A23DCA"/>
    <w:rsid w:val="00A240D8"/>
    <w:rsid w:val="00A243E4"/>
    <w:rsid w:val="00A2459D"/>
    <w:rsid w:val="00A24E23"/>
    <w:rsid w:val="00A2566C"/>
    <w:rsid w:val="00A25F05"/>
    <w:rsid w:val="00A26491"/>
    <w:rsid w:val="00A30B2D"/>
    <w:rsid w:val="00A311AE"/>
    <w:rsid w:val="00A312A6"/>
    <w:rsid w:val="00A3130E"/>
    <w:rsid w:val="00A3138C"/>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38C"/>
    <w:rsid w:val="00A6351F"/>
    <w:rsid w:val="00A63809"/>
    <w:rsid w:val="00A64278"/>
    <w:rsid w:val="00A64A6E"/>
    <w:rsid w:val="00A6519F"/>
    <w:rsid w:val="00A65931"/>
    <w:rsid w:val="00A65A70"/>
    <w:rsid w:val="00A6665F"/>
    <w:rsid w:val="00A66F36"/>
    <w:rsid w:val="00A676D9"/>
    <w:rsid w:val="00A67EFC"/>
    <w:rsid w:val="00A7031E"/>
    <w:rsid w:val="00A70D5F"/>
    <w:rsid w:val="00A71140"/>
    <w:rsid w:val="00A7205E"/>
    <w:rsid w:val="00A73379"/>
    <w:rsid w:val="00A74692"/>
    <w:rsid w:val="00A75A52"/>
    <w:rsid w:val="00A7618B"/>
    <w:rsid w:val="00A7640B"/>
    <w:rsid w:val="00A773A8"/>
    <w:rsid w:val="00A7778B"/>
    <w:rsid w:val="00A778E6"/>
    <w:rsid w:val="00A803BC"/>
    <w:rsid w:val="00A80969"/>
    <w:rsid w:val="00A85798"/>
    <w:rsid w:val="00A8609D"/>
    <w:rsid w:val="00A86EA7"/>
    <w:rsid w:val="00A90F88"/>
    <w:rsid w:val="00A91244"/>
    <w:rsid w:val="00A91774"/>
    <w:rsid w:val="00A91C7F"/>
    <w:rsid w:val="00A92066"/>
    <w:rsid w:val="00A92776"/>
    <w:rsid w:val="00A92C31"/>
    <w:rsid w:val="00A93181"/>
    <w:rsid w:val="00A93667"/>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7D4E"/>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55A"/>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2BF"/>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1DCA"/>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1B7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298"/>
    <w:rsid w:val="00B46A75"/>
    <w:rsid w:val="00B470A7"/>
    <w:rsid w:val="00B500CD"/>
    <w:rsid w:val="00B5109D"/>
    <w:rsid w:val="00B5239C"/>
    <w:rsid w:val="00B53259"/>
    <w:rsid w:val="00B53893"/>
    <w:rsid w:val="00B548C2"/>
    <w:rsid w:val="00B54B6A"/>
    <w:rsid w:val="00B54C74"/>
    <w:rsid w:val="00B55428"/>
    <w:rsid w:val="00B570BF"/>
    <w:rsid w:val="00B60471"/>
    <w:rsid w:val="00B60563"/>
    <w:rsid w:val="00B60B8F"/>
    <w:rsid w:val="00B625CC"/>
    <w:rsid w:val="00B63337"/>
    <w:rsid w:val="00B6369F"/>
    <w:rsid w:val="00B639D7"/>
    <w:rsid w:val="00B64AA7"/>
    <w:rsid w:val="00B65452"/>
    <w:rsid w:val="00B66594"/>
    <w:rsid w:val="00B67805"/>
    <w:rsid w:val="00B701FE"/>
    <w:rsid w:val="00B71D3A"/>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A4B"/>
    <w:rsid w:val="00B82ED8"/>
    <w:rsid w:val="00B83E1B"/>
    <w:rsid w:val="00B845D0"/>
    <w:rsid w:val="00B84A80"/>
    <w:rsid w:val="00B84E9C"/>
    <w:rsid w:val="00B85522"/>
    <w:rsid w:val="00B87E1A"/>
    <w:rsid w:val="00B9071D"/>
    <w:rsid w:val="00B90E2A"/>
    <w:rsid w:val="00B90F2A"/>
    <w:rsid w:val="00B9198D"/>
    <w:rsid w:val="00B92D25"/>
    <w:rsid w:val="00B93008"/>
    <w:rsid w:val="00B9406D"/>
    <w:rsid w:val="00B94BA7"/>
    <w:rsid w:val="00B94E0E"/>
    <w:rsid w:val="00B94E2E"/>
    <w:rsid w:val="00B96413"/>
    <w:rsid w:val="00B97CA3"/>
    <w:rsid w:val="00BA1104"/>
    <w:rsid w:val="00BA1872"/>
    <w:rsid w:val="00BA1913"/>
    <w:rsid w:val="00BA22A3"/>
    <w:rsid w:val="00BA2BC9"/>
    <w:rsid w:val="00BA4641"/>
    <w:rsid w:val="00BA4A54"/>
    <w:rsid w:val="00BA66CA"/>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2F5"/>
    <w:rsid w:val="00BC1AD9"/>
    <w:rsid w:val="00BC3257"/>
    <w:rsid w:val="00BC32E7"/>
    <w:rsid w:val="00BC4F81"/>
    <w:rsid w:val="00BC5670"/>
    <w:rsid w:val="00BC58B9"/>
    <w:rsid w:val="00BC67CF"/>
    <w:rsid w:val="00BD2F13"/>
    <w:rsid w:val="00BD3056"/>
    <w:rsid w:val="00BD3613"/>
    <w:rsid w:val="00BD3846"/>
    <w:rsid w:val="00BD3E68"/>
    <w:rsid w:val="00BD4E05"/>
    <w:rsid w:val="00BD57BF"/>
    <w:rsid w:val="00BD598A"/>
    <w:rsid w:val="00BD5C7A"/>
    <w:rsid w:val="00BD723F"/>
    <w:rsid w:val="00BD75B4"/>
    <w:rsid w:val="00BD7D14"/>
    <w:rsid w:val="00BE00D7"/>
    <w:rsid w:val="00BE02B4"/>
    <w:rsid w:val="00BE28C1"/>
    <w:rsid w:val="00BE3492"/>
    <w:rsid w:val="00BE3B62"/>
    <w:rsid w:val="00BE48FD"/>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07E45"/>
    <w:rsid w:val="00C11ADE"/>
    <w:rsid w:val="00C126E0"/>
    <w:rsid w:val="00C128BC"/>
    <w:rsid w:val="00C12E39"/>
    <w:rsid w:val="00C13D47"/>
    <w:rsid w:val="00C14164"/>
    <w:rsid w:val="00C14C53"/>
    <w:rsid w:val="00C15D8E"/>
    <w:rsid w:val="00C15ECD"/>
    <w:rsid w:val="00C17012"/>
    <w:rsid w:val="00C178FB"/>
    <w:rsid w:val="00C17DF9"/>
    <w:rsid w:val="00C201EB"/>
    <w:rsid w:val="00C20ACC"/>
    <w:rsid w:val="00C22B28"/>
    <w:rsid w:val="00C257B7"/>
    <w:rsid w:val="00C272E8"/>
    <w:rsid w:val="00C301A9"/>
    <w:rsid w:val="00C30A28"/>
    <w:rsid w:val="00C30ABC"/>
    <w:rsid w:val="00C30B60"/>
    <w:rsid w:val="00C31B67"/>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5EB"/>
    <w:rsid w:val="00C57A01"/>
    <w:rsid w:val="00C57A2D"/>
    <w:rsid w:val="00C60B07"/>
    <w:rsid w:val="00C61D4B"/>
    <w:rsid w:val="00C62B0A"/>
    <w:rsid w:val="00C63C52"/>
    <w:rsid w:val="00C63F08"/>
    <w:rsid w:val="00C6528C"/>
    <w:rsid w:val="00C661E8"/>
    <w:rsid w:val="00C70084"/>
    <w:rsid w:val="00C7090B"/>
    <w:rsid w:val="00C7235B"/>
    <w:rsid w:val="00C726A2"/>
    <w:rsid w:val="00C72E18"/>
    <w:rsid w:val="00C731AD"/>
    <w:rsid w:val="00C7380B"/>
    <w:rsid w:val="00C740E2"/>
    <w:rsid w:val="00C74421"/>
    <w:rsid w:val="00C75F2F"/>
    <w:rsid w:val="00C75FEE"/>
    <w:rsid w:val="00C76015"/>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186"/>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70E"/>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045"/>
    <w:rsid w:val="00CD497A"/>
    <w:rsid w:val="00CD538E"/>
    <w:rsid w:val="00CD761D"/>
    <w:rsid w:val="00CD76B5"/>
    <w:rsid w:val="00CD78B9"/>
    <w:rsid w:val="00CE1D01"/>
    <w:rsid w:val="00CE2323"/>
    <w:rsid w:val="00CE2346"/>
    <w:rsid w:val="00CE6F0F"/>
    <w:rsid w:val="00CF002F"/>
    <w:rsid w:val="00CF0246"/>
    <w:rsid w:val="00CF1B6F"/>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CAE"/>
    <w:rsid w:val="00D40E1A"/>
    <w:rsid w:val="00D413C3"/>
    <w:rsid w:val="00D42240"/>
    <w:rsid w:val="00D427C3"/>
    <w:rsid w:val="00D42EB8"/>
    <w:rsid w:val="00D43D3C"/>
    <w:rsid w:val="00D43E0B"/>
    <w:rsid w:val="00D441E2"/>
    <w:rsid w:val="00D44932"/>
    <w:rsid w:val="00D46111"/>
    <w:rsid w:val="00D4662F"/>
    <w:rsid w:val="00D46872"/>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8E6"/>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FA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304"/>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49AA"/>
    <w:rsid w:val="00E0576C"/>
    <w:rsid w:val="00E068BC"/>
    <w:rsid w:val="00E073F0"/>
    <w:rsid w:val="00E10761"/>
    <w:rsid w:val="00E11D7A"/>
    <w:rsid w:val="00E11EEB"/>
    <w:rsid w:val="00E128F2"/>
    <w:rsid w:val="00E13E5A"/>
    <w:rsid w:val="00E13EE4"/>
    <w:rsid w:val="00E16463"/>
    <w:rsid w:val="00E16F82"/>
    <w:rsid w:val="00E17F6F"/>
    <w:rsid w:val="00E20082"/>
    <w:rsid w:val="00E20B20"/>
    <w:rsid w:val="00E21C34"/>
    <w:rsid w:val="00E239D1"/>
    <w:rsid w:val="00E246B9"/>
    <w:rsid w:val="00E248F9"/>
    <w:rsid w:val="00E250C5"/>
    <w:rsid w:val="00E26727"/>
    <w:rsid w:val="00E26970"/>
    <w:rsid w:val="00E2728F"/>
    <w:rsid w:val="00E27791"/>
    <w:rsid w:val="00E3028C"/>
    <w:rsid w:val="00E30F2D"/>
    <w:rsid w:val="00E319DB"/>
    <w:rsid w:val="00E31AFC"/>
    <w:rsid w:val="00E3250F"/>
    <w:rsid w:val="00E3409E"/>
    <w:rsid w:val="00E34F76"/>
    <w:rsid w:val="00E37BE5"/>
    <w:rsid w:val="00E4074F"/>
    <w:rsid w:val="00E41A27"/>
    <w:rsid w:val="00E41AB4"/>
    <w:rsid w:val="00E42737"/>
    <w:rsid w:val="00E44906"/>
    <w:rsid w:val="00E45C77"/>
    <w:rsid w:val="00E4608B"/>
    <w:rsid w:val="00E46D7F"/>
    <w:rsid w:val="00E501D3"/>
    <w:rsid w:val="00E53A01"/>
    <w:rsid w:val="00E56106"/>
    <w:rsid w:val="00E564C4"/>
    <w:rsid w:val="00E567C9"/>
    <w:rsid w:val="00E57E1A"/>
    <w:rsid w:val="00E57FE0"/>
    <w:rsid w:val="00E604C4"/>
    <w:rsid w:val="00E60809"/>
    <w:rsid w:val="00E61300"/>
    <w:rsid w:val="00E635B9"/>
    <w:rsid w:val="00E65D15"/>
    <w:rsid w:val="00E661A5"/>
    <w:rsid w:val="00E66CD8"/>
    <w:rsid w:val="00E67802"/>
    <w:rsid w:val="00E67EE5"/>
    <w:rsid w:val="00E7013A"/>
    <w:rsid w:val="00E72C6B"/>
    <w:rsid w:val="00E7323D"/>
    <w:rsid w:val="00E73AB7"/>
    <w:rsid w:val="00E74F5D"/>
    <w:rsid w:val="00E76034"/>
    <w:rsid w:val="00E774BD"/>
    <w:rsid w:val="00E80440"/>
    <w:rsid w:val="00E817E0"/>
    <w:rsid w:val="00E82EE4"/>
    <w:rsid w:val="00E831E7"/>
    <w:rsid w:val="00E83FEC"/>
    <w:rsid w:val="00E8417E"/>
    <w:rsid w:val="00E843B5"/>
    <w:rsid w:val="00E84A3B"/>
    <w:rsid w:val="00E85307"/>
    <w:rsid w:val="00E85B0A"/>
    <w:rsid w:val="00E87742"/>
    <w:rsid w:val="00E907E4"/>
    <w:rsid w:val="00E90A24"/>
    <w:rsid w:val="00E90C34"/>
    <w:rsid w:val="00E919AC"/>
    <w:rsid w:val="00E9321C"/>
    <w:rsid w:val="00E93244"/>
    <w:rsid w:val="00E93499"/>
    <w:rsid w:val="00E93CB3"/>
    <w:rsid w:val="00E946A6"/>
    <w:rsid w:val="00E947E4"/>
    <w:rsid w:val="00E9480A"/>
    <w:rsid w:val="00E9616B"/>
    <w:rsid w:val="00E96A29"/>
    <w:rsid w:val="00E96B28"/>
    <w:rsid w:val="00E96FE6"/>
    <w:rsid w:val="00E973A1"/>
    <w:rsid w:val="00EA0F54"/>
    <w:rsid w:val="00EA1059"/>
    <w:rsid w:val="00EA11CA"/>
    <w:rsid w:val="00EA1A8C"/>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4AA"/>
    <w:rsid w:val="00EB584C"/>
    <w:rsid w:val="00EB5863"/>
    <w:rsid w:val="00EB5D88"/>
    <w:rsid w:val="00EB6D14"/>
    <w:rsid w:val="00EB7307"/>
    <w:rsid w:val="00EB772D"/>
    <w:rsid w:val="00EC05BC"/>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CA1"/>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276F"/>
    <w:rsid w:val="00F15193"/>
    <w:rsid w:val="00F16739"/>
    <w:rsid w:val="00F16DE2"/>
    <w:rsid w:val="00F176F3"/>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37CE"/>
    <w:rsid w:val="00F45693"/>
    <w:rsid w:val="00F50960"/>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7DA5"/>
    <w:rsid w:val="00F80318"/>
    <w:rsid w:val="00F803D0"/>
    <w:rsid w:val="00F80703"/>
    <w:rsid w:val="00F80948"/>
    <w:rsid w:val="00F81387"/>
    <w:rsid w:val="00F82134"/>
    <w:rsid w:val="00F822E3"/>
    <w:rsid w:val="00F82866"/>
    <w:rsid w:val="00F841FB"/>
    <w:rsid w:val="00F84421"/>
    <w:rsid w:val="00F8449B"/>
    <w:rsid w:val="00F8456D"/>
    <w:rsid w:val="00F84B44"/>
    <w:rsid w:val="00F85691"/>
    <w:rsid w:val="00F87032"/>
    <w:rsid w:val="00F87094"/>
    <w:rsid w:val="00F87AB3"/>
    <w:rsid w:val="00F913DC"/>
    <w:rsid w:val="00F91DDA"/>
    <w:rsid w:val="00F9397A"/>
    <w:rsid w:val="00F93A37"/>
    <w:rsid w:val="00F93DFB"/>
    <w:rsid w:val="00F94036"/>
    <w:rsid w:val="00F94182"/>
    <w:rsid w:val="00F9431F"/>
    <w:rsid w:val="00F944D9"/>
    <w:rsid w:val="00F94DB3"/>
    <w:rsid w:val="00F96500"/>
    <w:rsid w:val="00F97A87"/>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879"/>
    <w:rsid w:val="00FD5CBB"/>
    <w:rsid w:val="00FD6564"/>
    <w:rsid w:val="00FD6B74"/>
    <w:rsid w:val="00FD70AE"/>
    <w:rsid w:val="00FE002E"/>
    <w:rsid w:val="00FE2398"/>
    <w:rsid w:val="00FE515A"/>
    <w:rsid w:val="00FE5421"/>
    <w:rsid w:val="00FE5624"/>
    <w:rsid w:val="00FE5D2C"/>
    <w:rsid w:val="00FE5FBF"/>
    <w:rsid w:val="00FE697C"/>
    <w:rsid w:val="00FE6C25"/>
    <w:rsid w:val="00FF033A"/>
    <w:rsid w:val="00FF0964"/>
    <w:rsid w:val="00FF0F67"/>
    <w:rsid w:val="00FF151B"/>
    <w:rsid w:val="00FF16F2"/>
    <w:rsid w:val="00FF1F9B"/>
    <w:rsid w:val="00FF2275"/>
    <w:rsid w:val="00FF2560"/>
    <w:rsid w:val="00FF2B42"/>
    <w:rsid w:val="00FF2D5B"/>
    <w:rsid w:val="00FF3B7F"/>
    <w:rsid w:val="00FF4F92"/>
    <w:rsid w:val="00FF54EB"/>
    <w:rsid w:val="00FF6822"/>
    <w:rsid w:val="00FF73D0"/>
    <w:rsid w:val="00FF7485"/>
    <w:rsid w:val="0A9D45B0"/>
    <w:rsid w:val="0D3173D9"/>
    <w:rsid w:val="0F02E6F4"/>
    <w:rsid w:val="10E807B4"/>
    <w:rsid w:val="141204DA"/>
    <w:rsid w:val="16512788"/>
    <w:rsid w:val="1A219784"/>
    <w:rsid w:val="1C8E8134"/>
    <w:rsid w:val="24F1F143"/>
    <w:rsid w:val="26691F92"/>
    <w:rsid w:val="32975CEE"/>
    <w:rsid w:val="3614D6CF"/>
    <w:rsid w:val="3C1DD9AB"/>
    <w:rsid w:val="3E553863"/>
    <w:rsid w:val="3E61DC49"/>
    <w:rsid w:val="3EE43757"/>
    <w:rsid w:val="42981C7C"/>
    <w:rsid w:val="4D0F5911"/>
    <w:rsid w:val="50C9D7C2"/>
    <w:rsid w:val="5B1C6D4B"/>
    <w:rsid w:val="6895CDBF"/>
    <w:rsid w:val="6DF060F6"/>
    <w:rsid w:val="787F769C"/>
    <w:rsid w:val="78C947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0293E"/>
  <w15:docId w15:val="{3AF375F0-8DD0-45A4-BDEE-834D52BD2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autoRedefine/>
    <w:uiPriority w:val="34"/>
    <w:qFormat/>
    <w:rsid w:val="002B2E66"/>
    <w:pPr>
      <w:numPr>
        <w:numId w:val="48"/>
      </w:numPr>
      <w:overflowPunct/>
      <w:autoSpaceDE/>
      <w:autoSpaceDN/>
      <w:adjustRightInd/>
      <w:spacing w:before="120" w:after="120" w:line="276" w:lineRule="auto"/>
      <w:contextualSpacing/>
      <w:jc w:val="both"/>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B2E66"/>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EA1A8C"/>
    <w:pPr>
      <w:overflowPunct/>
      <w:autoSpaceDE/>
      <w:autoSpaceDN/>
      <w:adjustRightInd/>
      <w:spacing w:after="0"/>
      <w:textAlignment w:val="auto"/>
    </w:pPr>
    <w:rPr>
      <w:rFonts w:asciiTheme="minorHAnsi" w:eastAsia="Times New Roman" w:hAnsiTheme="minorHAnsi"/>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7707009">
      <w:bodyDiv w:val="1"/>
      <w:marLeft w:val="0"/>
      <w:marRight w:val="0"/>
      <w:marTop w:val="0"/>
      <w:marBottom w:val="0"/>
      <w:divBdr>
        <w:top w:val="none" w:sz="0" w:space="0" w:color="auto"/>
        <w:left w:val="none" w:sz="0" w:space="0" w:color="auto"/>
        <w:bottom w:val="none" w:sz="0" w:space="0" w:color="auto"/>
        <w:right w:val="none" w:sz="0" w:space="0" w:color="auto"/>
      </w:divBdr>
      <w:divsChild>
        <w:div w:id="30427045">
          <w:marLeft w:val="547"/>
          <w:marRight w:val="0"/>
          <w:marTop w:val="0"/>
          <w:marBottom w:val="120"/>
          <w:divBdr>
            <w:top w:val="none" w:sz="0" w:space="0" w:color="auto"/>
            <w:left w:val="none" w:sz="0" w:space="0" w:color="auto"/>
            <w:bottom w:val="none" w:sz="0" w:space="0" w:color="auto"/>
            <w:right w:val="none" w:sz="0" w:space="0" w:color="auto"/>
          </w:divBdr>
        </w:div>
        <w:div w:id="803012808">
          <w:marLeft w:val="1166"/>
          <w:marRight w:val="0"/>
          <w:marTop w:val="0"/>
          <w:marBottom w:val="120"/>
          <w:divBdr>
            <w:top w:val="none" w:sz="0" w:space="0" w:color="auto"/>
            <w:left w:val="none" w:sz="0" w:space="0" w:color="auto"/>
            <w:bottom w:val="none" w:sz="0" w:space="0" w:color="auto"/>
            <w:right w:val="none" w:sz="0" w:space="0" w:color="auto"/>
          </w:divBdr>
        </w:div>
        <w:div w:id="1211771671">
          <w:marLeft w:val="1166"/>
          <w:marRight w:val="0"/>
          <w:marTop w:val="0"/>
          <w:marBottom w:val="120"/>
          <w:divBdr>
            <w:top w:val="none" w:sz="0" w:space="0" w:color="auto"/>
            <w:left w:val="none" w:sz="0" w:space="0" w:color="auto"/>
            <w:bottom w:val="none" w:sz="0" w:space="0" w:color="auto"/>
            <w:right w:val="none" w:sz="0" w:space="0" w:color="auto"/>
          </w:divBdr>
        </w:div>
        <w:div w:id="1231112768">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619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25391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77655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91409">
      <w:bodyDiv w:val="1"/>
      <w:marLeft w:val="0"/>
      <w:marRight w:val="0"/>
      <w:marTop w:val="0"/>
      <w:marBottom w:val="0"/>
      <w:divBdr>
        <w:top w:val="none" w:sz="0" w:space="0" w:color="auto"/>
        <w:left w:val="none" w:sz="0" w:space="0" w:color="auto"/>
        <w:bottom w:val="none" w:sz="0" w:space="0" w:color="auto"/>
        <w:right w:val="none" w:sz="0" w:space="0" w:color="auto"/>
      </w:divBdr>
      <w:divsChild>
        <w:div w:id="92097026">
          <w:marLeft w:val="547"/>
          <w:marRight w:val="0"/>
          <w:marTop w:val="0"/>
          <w:marBottom w:val="0"/>
          <w:divBdr>
            <w:top w:val="none" w:sz="0" w:space="0" w:color="auto"/>
            <w:left w:val="none" w:sz="0" w:space="0" w:color="auto"/>
            <w:bottom w:val="none" w:sz="0" w:space="0" w:color="auto"/>
            <w:right w:val="none" w:sz="0" w:space="0" w:color="auto"/>
          </w:divBdr>
        </w:div>
        <w:div w:id="599798818">
          <w:marLeft w:val="1166"/>
          <w:marRight w:val="0"/>
          <w:marTop w:val="0"/>
          <w:marBottom w:val="0"/>
          <w:divBdr>
            <w:top w:val="none" w:sz="0" w:space="0" w:color="auto"/>
            <w:left w:val="none" w:sz="0" w:space="0" w:color="auto"/>
            <w:bottom w:val="none" w:sz="0" w:space="0" w:color="auto"/>
            <w:right w:val="none" w:sz="0" w:space="0" w:color="auto"/>
          </w:divBdr>
        </w:div>
        <w:div w:id="1287396412">
          <w:marLeft w:val="547"/>
          <w:marRight w:val="0"/>
          <w:marTop w:val="0"/>
          <w:marBottom w:val="0"/>
          <w:divBdr>
            <w:top w:val="none" w:sz="0" w:space="0" w:color="auto"/>
            <w:left w:val="none" w:sz="0" w:space="0" w:color="auto"/>
            <w:bottom w:val="none" w:sz="0" w:space="0" w:color="auto"/>
            <w:right w:val="none" w:sz="0" w:space="0" w:color="auto"/>
          </w:divBdr>
        </w:div>
        <w:div w:id="156567784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428751">
      <w:bodyDiv w:val="1"/>
      <w:marLeft w:val="0"/>
      <w:marRight w:val="0"/>
      <w:marTop w:val="0"/>
      <w:marBottom w:val="0"/>
      <w:divBdr>
        <w:top w:val="none" w:sz="0" w:space="0" w:color="auto"/>
        <w:left w:val="none" w:sz="0" w:space="0" w:color="auto"/>
        <w:bottom w:val="none" w:sz="0" w:space="0" w:color="auto"/>
        <w:right w:val="none" w:sz="0" w:space="0" w:color="auto"/>
      </w:divBdr>
      <w:divsChild>
        <w:div w:id="53702031">
          <w:marLeft w:val="1166"/>
          <w:marRight w:val="0"/>
          <w:marTop w:val="0"/>
          <w:marBottom w:val="0"/>
          <w:divBdr>
            <w:top w:val="none" w:sz="0" w:space="0" w:color="auto"/>
            <w:left w:val="none" w:sz="0" w:space="0" w:color="auto"/>
            <w:bottom w:val="none" w:sz="0" w:space="0" w:color="auto"/>
            <w:right w:val="none" w:sz="0" w:space="0" w:color="auto"/>
          </w:divBdr>
        </w:div>
        <w:div w:id="400100697">
          <w:marLeft w:val="547"/>
          <w:marRight w:val="0"/>
          <w:marTop w:val="0"/>
          <w:marBottom w:val="0"/>
          <w:divBdr>
            <w:top w:val="none" w:sz="0" w:space="0" w:color="auto"/>
            <w:left w:val="none" w:sz="0" w:space="0" w:color="auto"/>
            <w:bottom w:val="none" w:sz="0" w:space="0" w:color="auto"/>
            <w:right w:val="none" w:sz="0" w:space="0" w:color="auto"/>
          </w:divBdr>
        </w:div>
        <w:div w:id="978800530">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170333">
      <w:bodyDiv w:val="1"/>
      <w:marLeft w:val="0"/>
      <w:marRight w:val="0"/>
      <w:marTop w:val="0"/>
      <w:marBottom w:val="0"/>
      <w:divBdr>
        <w:top w:val="none" w:sz="0" w:space="0" w:color="auto"/>
        <w:left w:val="none" w:sz="0" w:space="0" w:color="auto"/>
        <w:bottom w:val="none" w:sz="0" w:space="0" w:color="auto"/>
        <w:right w:val="none" w:sz="0" w:space="0" w:color="auto"/>
      </w:divBdr>
      <w:divsChild>
        <w:div w:id="5446026">
          <w:marLeft w:val="1166"/>
          <w:marRight w:val="0"/>
          <w:marTop w:val="0"/>
          <w:marBottom w:val="120"/>
          <w:divBdr>
            <w:top w:val="none" w:sz="0" w:space="0" w:color="auto"/>
            <w:left w:val="none" w:sz="0" w:space="0" w:color="auto"/>
            <w:bottom w:val="none" w:sz="0" w:space="0" w:color="auto"/>
            <w:right w:val="none" w:sz="0" w:space="0" w:color="auto"/>
          </w:divBdr>
        </w:div>
        <w:div w:id="650057056">
          <w:marLeft w:val="547"/>
          <w:marRight w:val="0"/>
          <w:marTop w:val="0"/>
          <w:marBottom w:val="180"/>
          <w:divBdr>
            <w:top w:val="none" w:sz="0" w:space="0" w:color="auto"/>
            <w:left w:val="none" w:sz="0" w:space="0" w:color="auto"/>
            <w:bottom w:val="none" w:sz="0" w:space="0" w:color="auto"/>
            <w:right w:val="none" w:sz="0" w:space="0" w:color="auto"/>
          </w:divBdr>
        </w:div>
        <w:div w:id="1176923787">
          <w:marLeft w:val="547"/>
          <w:marRight w:val="0"/>
          <w:marTop w:val="0"/>
          <w:marBottom w:val="18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B8CCBE-EAB4-4940-B47E-186BCBD39CA0}">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614</TotalTime>
  <Pages>9</Pages>
  <Words>4841</Words>
  <Characters>26234</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Nhan, Nhat-Quang (Nokia - FR/Paris-Saclay)</cp:lastModifiedBy>
  <cp:revision>161</cp:revision>
  <cp:lastPrinted>2016-06-20T11:35:00Z</cp:lastPrinted>
  <dcterms:created xsi:type="dcterms:W3CDTF">2021-02-15T08:20:00Z</dcterms:created>
  <dcterms:modified xsi:type="dcterms:W3CDTF">2021-04-06T18:58:00Z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